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B2F32">
      <w:pPr>
        <w:pStyle w:val="5"/>
        <w:jc w:val="left"/>
        <w:rPr>
          <w:rFonts w:hint="eastAsia"/>
          <w:b/>
          <w:color w:val="auto"/>
          <w:sz w:val="32"/>
          <w:szCs w:val="32"/>
          <w:lang w:val="en-US" w:eastAsia="zh-CN"/>
        </w:rPr>
      </w:pPr>
      <w:r>
        <w:rPr>
          <w:rFonts w:hint="eastAsia" w:ascii="宋体" w:hAnsi="宋体" w:eastAsia="宋体" w:cs="宋体"/>
          <w:b/>
          <w:color w:val="auto"/>
          <w:sz w:val="32"/>
          <w:szCs w:val="32"/>
          <w:lang w:val="en-US" w:eastAsia="zh-CN"/>
        </w:rPr>
        <w:t>附件1：</w:t>
      </w:r>
    </w:p>
    <w:p w14:paraId="6699C8B2">
      <w:pPr>
        <w:pStyle w:val="5"/>
        <w:jc w:val="center"/>
        <w:rPr>
          <w:rFonts w:hint="eastAsia"/>
          <w:b/>
          <w:color w:val="auto"/>
          <w:sz w:val="44"/>
          <w:szCs w:val="44"/>
          <w:lang w:val="en-US" w:eastAsia="zh-CN"/>
        </w:rPr>
      </w:pPr>
      <w:r>
        <w:rPr>
          <w:rFonts w:hint="eastAsia"/>
          <w:b/>
          <w:color w:val="auto"/>
          <w:sz w:val="44"/>
          <w:szCs w:val="44"/>
          <w:lang w:val="en-US" w:eastAsia="zh-CN"/>
        </w:rPr>
        <w:t>采购需求</w:t>
      </w:r>
    </w:p>
    <w:p w14:paraId="18051B83">
      <w:pPr>
        <w:pStyle w:val="5"/>
        <w:jc w:val="center"/>
        <w:rPr>
          <w:rFonts w:hint="default"/>
          <w:b/>
          <w:color w:val="auto"/>
          <w:sz w:val="36"/>
          <w:lang w:val="en-US" w:eastAsia="zh-CN"/>
        </w:rPr>
      </w:pPr>
    </w:p>
    <w:p w14:paraId="0192FF25">
      <w:pPr>
        <w:pStyle w:val="5"/>
        <w:outlineLvl w:val="2"/>
        <w:rPr>
          <w:color w:val="auto"/>
        </w:rPr>
      </w:pPr>
      <w:r>
        <w:rPr>
          <w:b/>
          <w:color w:val="auto"/>
          <w:sz w:val="28"/>
        </w:rPr>
        <w:t>一.项目概述</w:t>
      </w:r>
    </w:p>
    <w:p w14:paraId="689A6AFA">
      <w:pPr>
        <w:pStyle w:val="5"/>
        <w:outlineLvl w:val="3"/>
        <w:rPr>
          <w:color w:val="auto"/>
        </w:rPr>
      </w:pPr>
      <w:r>
        <w:rPr>
          <w:b/>
          <w:color w:val="auto"/>
          <w:sz w:val="24"/>
        </w:rPr>
        <w:t>1.名称</w:t>
      </w:r>
    </w:p>
    <w:p w14:paraId="2017A281">
      <w:pPr>
        <w:pStyle w:val="5"/>
        <w:ind w:firstLine="480"/>
        <w:rPr>
          <w:color w:val="auto"/>
        </w:rPr>
      </w:pPr>
      <w:r>
        <w:rPr>
          <w:color w:val="auto"/>
        </w:rPr>
        <w:t>项目名称：广州医科大学附属第</w:t>
      </w:r>
      <w:r>
        <w:rPr>
          <w:rFonts w:hint="eastAsia"/>
          <w:color w:val="auto"/>
          <w:lang w:val="en-US" w:eastAsia="zh-CN"/>
        </w:rPr>
        <w:t>二</w:t>
      </w:r>
      <w:r>
        <w:rPr>
          <w:color w:val="auto"/>
        </w:rPr>
        <w:t>医院市场化购电项目</w:t>
      </w:r>
    </w:p>
    <w:p w14:paraId="570159E2">
      <w:pPr>
        <w:pStyle w:val="5"/>
        <w:ind w:firstLine="480"/>
        <w:rPr>
          <w:rFonts w:hint="eastAsia" w:eastAsiaTheme="minorEastAsia"/>
          <w:color w:val="auto"/>
          <w:lang w:val="en-US" w:eastAsia="zh-CN"/>
        </w:rPr>
      </w:pPr>
      <w:r>
        <w:rPr>
          <w:color w:val="auto"/>
        </w:rPr>
        <w:t>预算金额：</w:t>
      </w:r>
    </w:p>
    <w:p w14:paraId="73B61114">
      <w:pPr>
        <w:pStyle w:val="5"/>
        <w:outlineLvl w:val="3"/>
        <w:rPr>
          <w:color w:val="auto"/>
        </w:rPr>
      </w:pPr>
      <w:r>
        <w:rPr>
          <w:b/>
          <w:color w:val="auto"/>
          <w:sz w:val="24"/>
        </w:rPr>
        <w:t>2.项目内容及需求情况（采购项目技术规格、参数及要求）</w:t>
      </w:r>
    </w:p>
    <w:p w14:paraId="67FD5799">
      <w:pPr>
        <w:pStyle w:val="5"/>
        <w:rPr>
          <w:color w:val="auto"/>
        </w:rPr>
      </w:pPr>
      <w:r>
        <w:rPr>
          <w:color w:val="auto"/>
        </w:rPr>
        <w:t>采购包1(市场化购电服务):</w:t>
      </w:r>
    </w:p>
    <w:p w14:paraId="096A7D12">
      <w:pPr>
        <w:pStyle w:val="5"/>
        <w:rPr>
          <w:color w:val="auto"/>
        </w:rPr>
      </w:pPr>
      <w:r>
        <w:rPr>
          <w:color w:val="auto"/>
        </w:rPr>
        <w:t>采购包预算金额：元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977"/>
        <w:gridCol w:w="977"/>
      </w:tblGrid>
      <w:tr w14:paraId="2128F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7E515E0D">
            <w:pPr>
              <w:pStyle w:val="5"/>
              <w:rPr>
                <w:color w:val="auto"/>
              </w:rPr>
            </w:pPr>
            <w:r>
              <w:rPr>
                <w:color w:val="auto"/>
              </w:rPr>
              <w:t>品目号</w:t>
            </w:r>
          </w:p>
        </w:tc>
        <w:tc>
          <w:tcPr>
            <w:tcW w:w="1368" w:type="dxa"/>
          </w:tcPr>
          <w:p w14:paraId="3674D994">
            <w:pPr>
              <w:pStyle w:val="5"/>
              <w:rPr>
                <w:color w:val="auto"/>
              </w:rPr>
            </w:pPr>
            <w:r>
              <w:rPr>
                <w:color w:val="auto"/>
              </w:rPr>
              <w:t>品目名称</w:t>
            </w:r>
          </w:p>
        </w:tc>
        <w:tc>
          <w:tcPr>
            <w:tcW w:w="2052" w:type="dxa"/>
          </w:tcPr>
          <w:p w14:paraId="59A9075C">
            <w:pPr>
              <w:pStyle w:val="5"/>
              <w:rPr>
                <w:color w:val="auto"/>
              </w:rPr>
            </w:pPr>
            <w:r>
              <w:rPr>
                <w:color w:val="auto"/>
              </w:rPr>
              <w:t>采购标的</w:t>
            </w:r>
          </w:p>
        </w:tc>
        <w:tc>
          <w:tcPr>
            <w:tcW w:w="977" w:type="dxa"/>
          </w:tcPr>
          <w:p w14:paraId="47C2B04D">
            <w:pPr>
              <w:pStyle w:val="5"/>
              <w:rPr>
                <w:color w:val="auto"/>
              </w:rPr>
            </w:pPr>
            <w:r>
              <w:rPr>
                <w:color w:val="auto"/>
              </w:rPr>
              <w:t>数量（单位）</w:t>
            </w:r>
          </w:p>
        </w:tc>
        <w:tc>
          <w:tcPr>
            <w:tcW w:w="977" w:type="dxa"/>
          </w:tcPr>
          <w:p w14:paraId="665EDDB3">
            <w:pPr>
              <w:pStyle w:val="5"/>
              <w:rPr>
                <w:color w:val="auto"/>
              </w:rPr>
            </w:pPr>
            <w:r>
              <w:rPr>
                <w:color w:val="auto"/>
              </w:rPr>
              <w:t>技术规格、参数及要求</w:t>
            </w:r>
          </w:p>
        </w:tc>
        <w:tc>
          <w:tcPr>
            <w:tcW w:w="977" w:type="dxa"/>
          </w:tcPr>
          <w:p w14:paraId="78491BA4">
            <w:pPr>
              <w:pStyle w:val="5"/>
              <w:rPr>
                <w:color w:val="auto"/>
              </w:rPr>
            </w:pPr>
            <w:r>
              <w:rPr>
                <w:color w:val="auto"/>
              </w:rPr>
              <w:t>品目预算(元)</w:t>
            </w:r>
          </w:p>
        </w:tc>
        <w:tc>
          <w:tcPr>
            <w:tcW w:w="977" w:type="dxa"/>
          </w:tcPr>
          <w:p w14:paraId="30308430">
            <w:pPr>
              <w:pStyle w:val="5"/>
              <w:rPr>
                <w:color w:val="auto"/>
              </w:rPr>
            </w:pPr>
            <w:r>
              <w:rPr>
                <w:color w:val="auto"/>
              </w:rPr>
              <w:t>是否允许进口产品</w:t>
            </w:r>
          </w:p>
        </w:tc>
      </w:tr>
      <w:tr w14:paraId="1A5C3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5FAEFBB8">
            <w:pPr>
              <w:pStyle w:val="5"/>
              <w:rPr>
                <w:color w:val="auto"/>
              </w:rPr>
            </w:pPr>
            <w:r>
              <w:rPr>
                <w:color w:val="auto"/>
              </w:rPr>
              <w:t>1-1</w:t>
            </w:r>
          </w:p>
        </w:tc>
        <w:tc>
          <w:tcPr>
            <w:tcW w:w="1368" w:type="dxa"/>
          </w:tcPr>
          <w:p w14:paraId="7E74F315">
            <w:pPr>
              <w:pStyle w:val="5"/>
              <w:rPr>
                <w:color w:val="auto"/>
              </w:rPr>
            </w:pPr>
            <w:r>
              <w:rPr>
                <w:color w:val="auto"/>
              </w:rPr>
              <w:t>电力分配服务</w:t>
            </w:r>
          </w:p>
        </w:tc>
        <w:tc>
          <w:tcPr>
            <w:tcW w:w="2052" w:type="dxa"/>
          </w:tcPr>
          <w:p w14:paraId="2F605336">
            <w:pPr>
              <w:pStyle w:val="5"/>
              <w:rPr>
                <w:color w:val="auto"/>
              </w:rPr>
            </w:pPr>
            <w:r>
              <w:rPr>
                <w:color w:val="auto"/>
              </w:rPr>
              <w:t>市场化购电服务</w:t>
            </w:r>
          </w:p>
        </w:tc>
        <w:tc>
          <w:tcPr>
            <w:tcW w:w="977" w:type="dxa"/>
          </w:tcPr>
          <w:p w14:paraId="395A77B8">
            <w:pPr>
              <w:pStyle w:val="5"/>
              <w:rPr>
                <w:color w:val="auto"/>
              </w:rPr>
            </w:pPr>
            <w:r>
              <w:rPr>
                <w:color w:val="auto"/>
              </w:rPr>
              <w:t>1(年)</w:t>
            </w:r>
          </w:p>
        </w:tc>
        <w:tc>
          <w:tcPr>
            <w:tcW w:w="977" w:type="dxa"/>
          </w:tcPr>
          <w:p w14:paraId="54CC0DA4">
            <w:pPr>
              <w:pStyle w:val="5"/>
              <w:rPr>
                <w:color w:val="auto"/>
              </w:rPr>
            </w:pPr>
            <w:r>
              <w:rPr>
                <w:color w:val="auto"/>
              </w:rPr>
              <w:t>详见第二章</w:t>
            </w:r>
          </w:p>
        </w:tc>
        <w:tc>
          <w:tcPr>
            <w:tcW w:w="977" w:type="dxa"/>
          </w:tcPr>
          <w:p w14:paraId="4F74F33D">
            <w:pPr>
              <w:pStyle w:val="5"/>
              <w:rPr>
                <w:rFonts w:hint="eastAsia" w:eastAsiaTheme="minorEastAsia"/>
                <w:color w:val="auto"/>
                <w:lang w:eastAsia="zh-CN"/>
              </w:rPr>
            </w:pPr>
          </w:p>
        </w:tc>
        <w:tc>
          <w:tcPr>
            <w:tcW w:w="977" w:type="dxa"/>
          </w:tcPr>
          <w:p w14:paraId="6C79217F">
            <w:pPr>
              <w:pStyle w:val="5"/>
              <w:rPr>
                <w:color w:val="auto"/>
              </w:rPr>
            </w:pPr>
            <w:r>
              <w:rPr>
                <w:color w:val="auto"/>
              </w:rPr>
              <w:t>否</w:t>
            </w:r>
          </w:p>
        </w:tc>
      </w:tr>
    </w:tbl>
    <w:p w14:paraId="12E2B8F1">
      <w:pPr>
        <w:pStyle w:val="5"/>
        <w:rPr>
          <w:color w:val="auto"/>
        </w:rPr>
      </w:pPr>
      <w:r>
        <w:rPr>
          <w:color w:val="auto"/>
        </w:rPr>
        <w:t>本采购包不接受联合体投标</w:t>
      </w:r>
    </w:p>
    <w:p w14:paraId="7934A7D2">
      <w:pPr>
        <w:pStyle w:val="5"/>
        <w:rPr>
          <w:color w:val="auto"/>
        </w:rPr>
      </w:pPr>
      <w:r>
        <w:rPr>
          <w:color w:val="auto"/>
        </w:rPr>
        <w:t>合同分包：不允许合同分包</w:t>
      </w:r>
    </w:p>
    <w:p w14:paraId="72887390">
      <w:pPr>
        <w:pStyle w:val="5"/>
        <w:rPr>
          <w:color w:val="auto"/>
        </w:rPr>
      </w:pPr>
      <w:r>
        <w:rPr>
          <w:color w:val="auto"/>
        </w:rPr>
        <w:t>合同履行期限：自合同签订之日起一年</w:t>
      </w:r>
    </w:p>
    <w:p w14:paraId="03223403">
      <w:pPr>
        <w:pStyle w:val="5"/>
        <w:outlineLvl w:val="2"/>
        <w:rPr>
          <w:color w:val="auto"/>
        </w:rPr>
      </w:pPr>
      <w:r>
        <w:rPr>
          <w:b/>
          <w:color w:val="auto"/>
          <w:sz w:val="28"/>
        </w:rPr>
        <w:t>二.</w:t>
      </w:r>
      <w:r>
        <w:rPr>
          <w:rFonts w:hint="eastAsia"/>
          <w:b/>
          <w:color w:val="auto"/>
          <w:sz w:val="28"/>
          <w:lang w:val="en-US" w:eastAsia="zh-CN"/>
        </w:rPr>
        <w:t>公司</w:t>
      </w:r>
      <w:r>
        <w:rPr>
          <w:b/>
          <w:color w:val="auto"/>
          <w:sz w:val="28"/>
        </w:rPr>
        <w:t>资格要求</w:t>
      </w:r>
    </w:p>
    <w:p w14:paraId="35B92DA5">
      <w:pPr>
        <w:pStyle w:val="5"/>
        <w:outlineLvl w:val="3"/>
        <w:rPr>
          <w:color w:val="auto"/>
        </w:rPr>
      </w:pPr>
      <w:r>
        <w:rPr>
          <w:b/>
          <w:color w:val="auto"/>
          <w:sz w:val="24"/>
        </w:rPr>
        <w:t>1.投标人应具备《中华人民共和国政府采购法》第二十二条规定的条件，提供下列材料：</w:t>
      </w:r>
    </w:p>
    <w:p w14:paraId="425326CC">
      <w:pPr>
        <w:pStyle w:val="5"/>
        <w:rPr>
          <w:color w:val="auto"/>
        </w:rPr>
      </w:pPr>
      <w:r>
        <w:rPr>
          <w:color w:val="auto"/>
        </w:rPr>
        <w:t>1）具有独立承担民事责任的能力：在中华人民共和国境内注册的法人或其他组织或自然人。分支机构投标的，总公司出具给分支机构的授权书。</w:t>
      </w:r>
    </w:p>
    <w:p w14:paraId="62409D00">
      <w:pPr>
        <w:pStyle w:val="5"/>
        <w:rPr>
          <w:color w:val="auto"/>
        </w:rPr>
      </w:pPr>
      <w:r>
        <w:rPr>
          <w:color w:val="auto"/>
        </w:rPr>
        <w:t>2）有依法缴纳税收和社会保障资金的良好记录：提供承诺函，格式自拟。</w:t>
      </w:r>
    </w:p>
    <w:p w14:paraId="0AAA2CF8">
      <w:pPr>
        <w:pStyle w:val="5"/>
        <w:rPr>
          <w:color w:val="auto"/>
        </w:rPr>
      </w:pPr>
      <w:r>
        <w:rPr>
          <w:color w:val="auto"/>
        </w:rPr>
        <w:t>3）具有良好的商业信誉和健全的财务会计制度：提供承诺函，格式自拟。</w:t>
      </w:r>
    </w:p>
    <w:p w14:paraId="6BA71FDC">
      <w:pPr>
        <w:pStyle w:val="5"/>
        <w:rPr>
          <w:color w:val="auto"/>
        </w:rPr>
      </w:pPr>
      <w:r>
        <w:rPr>
          <w:color w:val="auto"/>
        </w:rPr>
        <w:t>4）履行合同所必需的设备和专业技术能力：按投标（响应）文件格式填报设备及专业技术能力情况。</w:t>
      </w:r>
    </w:p>
    <w:p w14:paraId="2F822E36">
      <w:pPr>
        <w:pStyle w:val="5"/>
        <w:rPr>
          <w:color w:val="auto"/>
        </w:rPr>
      </w:pPr>
      <w:r>
        <w:rPr>
          <w:color w:val="auto"/>
        </w:rPr>
        <w:t>5）参加采购活动前3年内，在经营活动中没有重大违法记录：参照投标（报价）函相 关承诺格式内容。 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p w14:paraId="7F7DA069">
      <w:pPr>
        <w:pStyle w:val="5"/>
        <w:outlineLvl w:val="3"/>
        <w:rPr>
          <w:color w:val="auto"/>
        </w:rPr>
      </w:pPr>
      <w:r>
        <w:rPr>
          <w:rFonts w:hint="eastAsia"/>
          <w:b/>
          <w:color w:val="auto"/>
          <w:sz w:val="24"/>
          <w:lang w:val="en-US" w:eastAsia="zh-CN"/>
        </w:rPr>
        <w:t>2</w:t>
      </w:r>
      <w:r>
        <w:rPr>
          <w:b/>
          <w:color w:val="auto"/>
          <w:sz w:val="24"/>
        </w:rPr>
        <w:t>.本项目特定的资格要求：</w:t>
      </w:r>
    </w:p>
    <w:p w14:paraId="6CFE7BC8">
      <w:pPr>
        <w:pStyle w:val="5"/>
        <w:rPr>
          <w:color w:val="auto"/>
        </w:rPr>
      </w:pPr>
      <w:r>
        <w:rPr>
          <w:color w:val="auto"/>
        </w:rPr>
        <w:t>采购包1（市场化购电服务）：</w:t>
      </w:r>
    </w:p>
    <w:p w14:paraId="46D5E378">
      <w:pPr>
        <w:pStyle w:val="5"/>
        <w:rPr>
          <w:color w:val="auto"/>
        </w:rPr>
      </w:pPr>
      <w:r>
        <w:rPr>
          <w:color w:val="auto"/>
        </w:rPr>
        <w:t>1)单位负责人为同一人或者存在直接控股、管理关系的不同供应商，不得参加同一包号投标或者未划分包号的同一招标项目投标。(投标人出具声明函)</w:t>
      </w:r>
    </w:p>
    <w:p w14:paraId="399F0C4B">
      <w:pPr>
        <w:pStyle w:val="5"/>
        <w:rPr>
          <w:color w:val="auto"/>
        </w:rPr>
      </w:pPr>
      <w:r>
        <w:rPr>
          <w:color w:val="auto"/>
        </w:rPr>
        <w:t>2)为采购项目提供整体设计、规范编制或者项目管理、监理、检测等服务的供应商，不得再参加该采购项目的其他采购活动。(投标人出具声明函)。</w:t>
      </w:r>
    </w:p>
    <w:p w14:paraId="6F7BD09C">
      <w:pPr>
        <w:pStyle w:val="5"/>
        <w:rPr>
          <w:color w:val="auto"/>
        </w:rPr>
      </w:pPr>
      <w:r>
        <w:rPr>
          <w:color w:val="auto"/>
        </w:rPr>
        <w:t>3)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5CDF9272">
      <w:pPr>
        <w:pStyle w:val="5"/>
        <w:rPr>
          <w:color w:val="auto"/>
        </w:rPr>
      </w:pPr>
      <w:r>
        <w:rPr>
          <w:color w:val="auto"/>
        </w:rPr>
        <w:t>4)本项目不接受联合体投标，供应商在中标后不得将本项目以任何形式进行转包或分包。如有违反本规定，采购人有权立即终止合同，并保留追究供应商赔偿及由此而造成的其他方面的损失。（提供承诺函，格式自拟）</w:t>
      </w:r>
    </w:p>
    <w:p w14:paraId="6A5E0B3E">
      <w:pPr>
        <w:pStyle w:val="5"/>
        <w:rPr>
          <w:color w:val="auto"/>
        </w:rPr>
      </w:pPr>
      <w:r>
        <w:rPr>
          <w:color w:val="auto"/>
        </w:rPr>
        <w:t>5)供应商必须符合法律、行政法规规定的其他条件。</w:t>
      </w:r>
    </w:p>
    <w:p w14:paraId="68E03E47">
      <w:pPr>
        <w:pStyle w:val="5"/>
        <w:rPr>
          <w:color w:val="auto"/>
          <w:highlight w:val="none"/>
        </w:rPr>
      </w:pPr>
      <w:r>
        <w:rPr>
          <w:color w:val="auto"/>
          <w:highlight w:val="none"/>
        </w:rPr>
        <w:t>6)投标人须是已通过广东电力交易中心注册且具备交易资格的售电公司，需提供证明文件及有效的售电牌照编码。</w:t>
      </w:r>
    </w:p>
    <w:p w14:paraId="5741923E">
      <w:pPr>
        <w:pStyle w:val="5"/>
        <w:outlineLvl w:val="2"/>
        <w:rPr>
          <w:color w:val="auto"/>
        </w:rPr>
      </w:pPr>
      <w:r>
        <w:rPr>
          <w:rFonts w:hint="eastAsia"/>
          <w:b/>
          <w:color w:val="auto"/>
          <w:sz w:val="28"/>
          <w:lang w:val="en-US" w:eastAsia="zh-CN"/>
        </w:rPr>
        <w:t>三</w:t>
      </w:r>
      <w:r>
        <w:rPr>
          <w:b/>
          <w:color w:val="auto"/>
          <w:sz w:val="28"/>
        </w:rPr>
        <w:t>.本项目联系方式：</w:t>
      </w:r>
    </w:p>
    <w:p w14:paraId="5C5F8771">
      <w:pPr>
        <w:pStyle w:val="5"/>
        <w:outlineLvl w:val="3"/>
        <w:rPr>
          <w:color w:val="auto"/>
        </w:rPr>
      </w:pPr>
      <w:r>
        <w:rPr>
          <w:b/>
          <w:color w:val="auto"/>
          <w:sz w:val="24"/>
        </w:rPr>
        <w:t xml:space="preserve"> 1.采购人信息</w:t>
      </w:r>
    </w:p>
    <w:p w14:paraId="4D8EF226">
      <w:pPr>
        <w:pStyle w:val="5"/>
        <w:ind w:firstLine="480"/>
        <w:rPr>
          <w:color w:val="auto"/>
        </w:rPr>
      </w:pPr>
      <w:r>
        <w:rPr>
          <w:color w:val="auto"/>
        </w:rPr>
        <w:t xml:space="preserve"> 名称：广州医科大学附属第</w:t>
      </w:r>
      <w:r>
        <w:rPr>
          <w:rFonts w:hint="eastAsia"/>
          <w:color w:val="auto"/>
          <w:lang w:val="en-US" w:eastAsia="zh-CN"/>
        </w:rPr>
        <w:t>二</w:t>
      </w:r>
      <w:r>
        <w:rPr>
          <w:color w:val="auto"/>
        </w:rPr>
        <w:t>医院</w:t>
      </w:r>
    </w:p>
    <w:p w14:paraId="09C6506A">
      <w:pPr>
        <w:pStyle w:val="5"/>
        <w:ind w:firstLine="480"/>
        <w:rPr>
          <w:rFonts w:hint="default" w:eastAsiaTheme="minorEastAsia"/>
          <w:color w:val="auto"/>
          <w:lang w:val="en-US" w:eastAsia="zh-CN"/>
        </w:rPr>
      </w:pPr>
      <w:r>
        <w:rPr>
          <w:color w:val="auto"/>
        </w:rPr>
        <w:t xml:space="preserve"> 地址：</w:t>
      </w:r>
      <w:r>
        <w:rPr>
          <w:rFonts w:hint="eastAsia"/>
          <w:color w:val="auto"/>
          <w:lang w:val="en-US" w:eastAsia="zh-CN"/>
        </w:rPr>
        <w:t>广州市海珠区昌岗东路250号</w:t>
      </w:r>
    </w:p>
    <w:p w14:paraId="28D12BBF">
      <w:pPr>
        <w:pStyle w:val="5"/>
        <w:outlineLvl w:val="3"/>
        <w:rPr>
          <w:color w:val="auto"/>
        </w:rPr>
      </w:pPr>
      <w:r>
        <w:rPr>
          <w:b/>
          <w:color w:val="auto"/>
          <w:sz w:val="24"/>
        </w:rPr>
        <w:t xml:space="preserve"> </w:t>
      </w:r>
      <w:r>
        <w:rPr>
          <w:rFonts w:hint="eastAsia"/>
          <w:b/>
          <w:color w:val="auto"/>
          <w:sz w:val="24"/>
          <w:lang w:val="en-US" w:eastAsia="zh-CN"/>
        </w:rPr>
        <w:t>2</w:t>
      </w:r>
      <w:r>
        <w:rPr>
          <w:b/>
          <w:color w:val="auto"/>
          <w:sz w:val="24"/>
        </w:rPr>
        <w:t>.项目联系方式</w:t>
      </w:r>
    </w:p>
    <w:p w14:paraId="744FE073">
      <w:pPr>
        <w:pStyle w:val="5"/>
        <w:ind w:firstLine="480"/>
        <w:rPr>
          <w:color w:val="auto"/>
        </w:rPr>
      </w:pPr>
      <w:r>
        <w:rPr>
          <w:color w:val="auto"/>
        </w:rPr>
        <w:t xml:space="preserve"> 项目联系人：</w:t>
      </w:r>
      <w:r>
        <w:rPr>
          <w:rFonts w:hint="eastAsia"/>
          <w:color w:val="auto"/>
          <w:lang w:val="en-US" w:eastAsia="zh-CN"/>
        </w:rPr>
        <w:t>越先生</w:t>
      </w:r>
    </w:p>
    <w:p w14:paraId="4DC5FDFE">
      <w:pPr>
        <w:pStyle w:val="5"/>
        <w:ind w:firstLine="480"/>
        <w:rPr>
          <w:color w:val="auto"/>
        </w:rPr>
      </w:pPr>
      <w:r>
        <w:rPr>
          <w:color w:val="auto"/>
        </w:rPr>
        <w:t xml:space="preserve"> 电话：020-</w:t>
      </w:r>
      <w:r>
        <w:rPr>
          <w:rFonts w:hint="eastAsia"/>
          <w:color w:val="auto"/>
          <w:lang w:val="en-US" w:eastAsia="zh-CN"/>
        </w:rPr>
        <w:t>34152457</w:t>
      </w:r>
    </w:p>
    <w:p w14:paraId="12A9C67B">
      <w:pPr>
        <w:pStyle w:val="5"/>
        <w:ind w:firstLine="480"/>
        <w:rPr>
          <w:color w:val="auto"/>
        </w:rPr>
      </w:pPr>
      <w:r>
        <w:rPr>
          <w:color w:val="auto"/>
        </w:rPr>
        <w:t xml:space="preserve">  </w:t>
      </w:r>
    </w:p>
    <w:p w14:paraId="0E51E8FE">
      <w:pPr>
        <w:pStyle w:val="5"/>
        <w:jc w:val="center"/>
        <w:outlineLvl w:val="1"/>
        <w:rPr>
          <w:color w:val="auto"/>
        </w:rPr>
      </w:pPr>
      <w:r>
        <w:rPr>
          <w:b/>
          <w:color w:val="auto"/>
          <w:sz w:val="36"/>
        </w:rPr>
        <w:t>第二章 采购需求</w:t>
      </w:r>
    </w:p>
    <w:p w14:paraId="6703BB75">
      <w:pPr>
        <w:pStyle w:val="5"/>
        <w:outlineLvl w:val="2"/>
        <w:rPr>
          <w:color w:val="auto"/>
        </w:rPr>
      </w:pPr>
      <w:r>
        <w:rPr>
          <w:b/>
          <w:color w:val="auto"/>
          <w:sz w:val="28"/>
        </w:rPr>
        <w:t>一、项目概况：</w:t>
      </w:r>
    </w:p>
    <w:p w14:paraId="7FC41ED6">
      <w:pPr>
        <w:pStyle w:val="5"/>
        <w:rPr>
          <w:color w:val="auto"/>
        </w:rPr>
      </w:pPr>
      <w:r>
        <w:rPr>
          <w:b/>
          <w:color w:val="auto"/>
          <w:sz w:val="21"/>
        </w:rPr>
        <w:t>（一）采购项目内容</w:t>
      </w:r>
    </w:p>
    <w:p w14:paraId="2AA75DFB">
      <w:pPr>
        <w:pStyle w:val="5"/>
        <w:jc w:val="both"/>
        <w:rPr>
          <w:color w:val="auto"/>
        </w:rPr>
      </w:pPr>
      <w:r>
        <w:rPr>
          <w:color w:val="auto"/>
          <w:sz w:val="21"/>
        </w:rPr>
        <w:t>1.电能量结算模式：固定价格模式+市场联动+浮动费用（0元/千瓦时）模式。</w:t>
      </w:r>
    </w:p>
    <w:p w14:paraId="41A0D30A">
      <w:pPr>
        <w:pStyle w:val="5"/>
        <w:jc w:val="both"/>
        <w:rPr>
          <w:color w:val="auto"/>
        </w:rPr>
      </w:pPr>
      <w:r>
        <w:rPr>
          <w:color w:val="auto"/>
          <w:sz w:val="21"/>
        </w:rPr>
        <w:t>1.1 固定价格模式选择平段价格，按实际用电量占比为90%。</w:t>
      </w:r>
    </w:p>
    <w:p w14:paraId="1FAB668E">
      <w:pPr>
        <w:pStyle w:val="5"/>
        <w:jc w:val="both"/>
        <w:rPr>
          <w:color w:val="auto"/>
        </w:rPr>
      </w:pPr>
      <w:r>
        <w:rPr>
          <w:color w:val="auto"/>
          <w:sz w:val="21"/>
        </w:rPr>
        <w:t>1.2 市场联动模式选择月度中长期交易综合价，按实际用电量占比为10%。</w:t>
      </w:r>
    </w:p>
    <w:p w14:paraId="2788DF69">
      <w:pPr>
        <w:pStyle w:val="5"/>
        <w:jc w:val="both"/>
        <w:rPr>
          <w:rFonts w:hint="eastAsia" w:eastAsiaTheme="minorEastAsia"/>
          <w:color w:val="auto"/>
          <w:lang w:eastAsia="zh-CN"/>
        </w:rPr>
      </w:pPr>
      <w:r>
        <w:rPr>
          <w:color w:val="auto"/>
          <w:sz w:val="21"/>
        </w:rPr>
        <w:t>即：电能量结算价格=合同约定固定价格*90%月度用电量+合同约定市场联动价格*10%月度用电量</w:t>
      </w:r>
      <w:r>
        <w:rPr>
          <w:rFonts w:hint="eastAsia"/>
          <w:color w:val="auto"/>
          <w:sz w:val="21"/>
          <w:lang w:eastAsia="zh-CN"/>
        </w:rPr>
        <w:t>。</w:t>
      </w:r>
    </w:p>
    <w:p w14:paraId="3A1C6754">
      <w:pPr>
        <w:pStyle w:val="5"/>
        <w:jc w:val="left"/>
        <w:rPr>
          <w:color w:val="auto"/>
        </w:rPr>
      </w:pPr>
      <w:r>
        <w:rPr>
          <w:color w:val="auto"/>
          <w:sz w:val="21"/>
        </w:rPr>
        <w:t>1.3合同约定的价格非用户最终到户电价，仅为电能量固定价格：90%的固定电量价格，其他未尽事宜按《广东省能源局国家能源局南方监管局关于2025年电力市场交易有关事项的通知》[粤能电力〔2024〕50号]执行；剩余10%电量价格采取月度中长期交易综合价，为不确定值，由广东电力交易中心次月中下旬对外公布上月市场联动价格。医院须按时缴纳的电费除电能量电费外，还包括输配电费、上网环节线损费用、系统运行费用、政府性基金及附加、其他分摊费用、市场化需求响应费用、尖峰加价等相关费用，即医院每月最终结算电费=（合同约定电能量结算价格+输配电费+上网环节线损费用+系统运行费用+政府性基金及附加+其他分摊费用+市场化需求响应费用+尖峰加价等）*当月实际用电量。</w:t>
      </w:r>
    </w:p>
    <w:p w14:paraId="736C3D6E">
      <w:pPr>
        <w:pStyle w:val="5"/>
        <w:jc w:val="left"/>
        <w:rPr>
          <w:color w:val="auto"/>
        </w:rPr>
      </w:pPr>
      <w:r>
        <w:rPr>
          <w:color w:val="auto"/>
          <w:sz w:val="21"/>
        </w:rPr>
        <w:t>1.4 除中标确定的电能量固定价格外，其他以上各项电费标准，由电网公司和广东电力交易中心按照政策规定执行。</w:t>
      </w:r>
    </w:p>
    <w:p w14:paraId="32E32F38">
      <w:pPr>
        <w:pStyle w:val="5"/>
        <w:jc w:val="left"/>
        <w:rPr>
          <w:color w:val="auto"/>
        </w:rPr>
      </w:pPr>
      <w:r>
        <w:rPr>
          <w:color w:val="auto"/>
          <w:sz w:val="21"/>
        </w:rPr>
        <w:t>1.5采购人和中标供应商双方按照签订的线下合同在交易系统中进行申报、确认，广东电力交易中心以双方在交易系统中申报、确认的模式和数据进行结算。</w:t>
      </w:r>
    </w:p>
    <w:p w14:paraId="1DD7CC50">
      <w:pPr>
        <w:pStyle w:val="5"/>
        <w:jc w:val="left"/>
        <w:rPr>
          <w:color w:val="auto"/>
        </w:rPr>
      </w:pPr>
      <w:r>
        <w:rPr>
          <w:color w:val="auto"/>
          <w:sz w:val="21"/>
        </w:rPr>
        <w:t>1.6每月实际交易电量以供电企业电力计量装置采集并推送至广东电力交易中心发布的实际用电量为准，采购人的电费结算方式为月度结算。</w:t>
      </w:r>
    </w:p>
    <w:p w14:paraId="2C7F7C7D">
      <w:pPr>
        <w:pStyle w:val="5"/>
        <w:jc w:val="left"/>
        <w:rPr>
          <w:color w:val="auto"/>
        </w:rPr>
      </w:pPr>
      <w:r>
        <w:rPr>
          <w:color w:val="auto"/>
          <w:sz w:val="21"/>
        </w:rPr>
        <w:t>2.采购需求</w:t>
      </w:r>
    </w:p>
    <w:p w14:paraId="670365FF">
      <w:pPr>
        <w:pStyle w:val="5"/>
        <w:jc w:val="both"/>
        <w:rPr>
          <w:b/>
          <w:bCs/>
          <w:color w:val="auto"/>
          <w:sz w:val="22"/>
          <w:szCs w:val="22"/>
          <w:highlight w:val="none"/>
        </w:rPr>
      </w:pPr>
      <w:r>
        <w:rPr>
          <w:color w:val="auto"/>
          <w:sz w:val="21"/>
          <w:highlight w:val="none"/>
        </w:rPr>
        <w:t>2.1</w:t>
      </w:r>
      <w:r>
        <w:rPr>
          <w:b/>
          <w:bCs/>
          <w:color w:val="auto"/>
          <w:sz w:val="24"/>
          <w:szCs w:val="22"/>
          <w:highlight w:val="none"/>
        </w:rPr>
        <w:t>预计全年消耗电量约</w:t>
      </w:r>
      <w:r>
        <w:rPr>
          <w:rFonts w:hint="eastAsia"/>
          <w:b/>
          <w:bCs/>
          <w:color w:val="auto"/>
          <w:sz w:val="24"/>
          <w:szCs w:val="22"/>
          <w:highlight w:val="none"/>
          <w:lang w:val="en-US" w:eastAsia="zh-CN"/>
        </w:rPr>
        <w:t>38</w:t>
      </w:r>
      <w:r>
        <w:rPr>
          <w:b/>
          <w:bCs/>
          <w:color w:val="auto"/>
          <w:sz w:val="24"/>
          <w:szCs w:val="22"/>
          <w:highlight w:val="none"/>
        </w:rPr>
        <w:t>00万千瓦时。</w:t>
      </w:r>
    </w:p>
    <w:p w14:paraId="5C711629">
      <w:pPr>
        <w:pStyle w:val="5"/>
        <w:jc w:val="both"/>
        <w:rPr>
          <w:color w:val="auto"/>
        </w:rPr>
      </w:pPr>
      <w:r>
        <w:rPr>
          <w:color w:val="auto"/>
          <w:sz w:val="21"/>
        </w:rPr>
        <w:t>2.2★</w:t>
      </w:r>
      <w:r>
        <w:rPr>
          <w:rFonts w:hint="eastAsia"/>
          <w:color w:val="auto"/>
          <w:sz w:val="21"/>
          <w:lang w:val="en-US" w:eastAsia="zh-CN"/>
        </w:rPr>
        <w:t>投标人</w:t>
      </w:r>
      <w:r>
        <w:rPr>
          <w:color w:val="auto"/>
          <w:sz w:val="21"/>
          <w:highlight w:val="none"/>
        </w:rPr>
        <w:t>报价</w:t>
      </w:r>
      <w:r>
        <w:rPr>
          <w:rFonts w:hint="eastAsia"/>
          <w:color w:val="auto"/>
          <w:sz w:val="21"/>
          <w:highlight w:val="none"/>
          <w:lang w:eastAsia="zh-CN"/>
        </w:rPr>
        <w:t>，</w:t>
      </w:r>
      <w:r>
        <w:rPr>
          <w:rFonts w:hint="eastAsia"/>
          <w:color w:val="auto"/>
          <w:sz w:val="21"/>
          <w:highlight w:val="none"/>
          <w:lang w:val="en-US" w:eastAsia="zh-CN"/>
        </w:rPr>
        <w:t>本项目最高限价390元/</w:t>
      </w:r>
      <w:r>
        <w:rPr>
          <w:color w:val="auto"/>
          <w:sz w:val="21"/>
          <w:highlight w:val="none"/>
        </w:rPr>
        <w:t>兆瓦时</w:t>
      </w:r>
      <w:r>
        <w:rPr>
          <w:rFonts w:hint="eastAsia"/>
          <w:color w:val="auto"/>
          <w:sz w:val="21"/>
          <w:highlight w:val="none"/>
          <w:lang w:eastAsia="zh-CN"/>
        </w:rPr>
        <w:t>。</w:t>
      </w:r>
      <w:r>
        <w:rPr>
          <w:color w:val="auto"/>
          <w:sz w:val="21"/>
          <w:highlight w:val="none"/>
        </w:rPr>
        <w:t>（固定电能量电费</w:t>
      </w:r>
      <w:r>
        <w:rPr>
          <w:color w:val="auto"/>
          <w:sz w:val="21"/>
        </w:rPr>
        <w:t>价格）（1兆瓦时等于1000千瓦时，100元/兆瓦时等于0.1元/千瓦时。）必须以“元/兆瓦时”为单位进行投标报价。其他未尽事宜按《广东省能源局国家能源局南方监管局关于2025 年电力市场交易有关事项的通知》[粤能电力〔2024〕50号]执行。报价需含代理服务费等所有费用，且</w:t>
      </w:r>
      <w:r>
        <w:rPr>
          <w:rFonts w:hint="eastAsia"/>
          <w:color w:val="auto"/>
          <w:sz w:val="21"/>
        </w:rPr>
        <w:t>整个合同履约期间中标人承诺电</w:t>
      </w:r>
      <w:r>
        <w:rPr>
          <w:rFonts w:hint="eastAsia"/>
          <w:color w:val="auto"/>
          <w:sz w:val="21"/>
          <w:lang w:val="en-US" w:eastAsia="zh-CN"/>
        </w:rPr>
        <w:t>能量</w:t>
      </w:r>
      <w:r>
        <w:rPr>
          <w:rFonts w:hint="eastAsia"/>
          <w:color w:val="auto"/>
          <w:sz w:val="21"/>
        </w:rPr>
        <w:t>价</w:t>
      </w:r>
      <w:r>
        <w:rPr>
          <w:rFonts w:hint="eastAsia"/>
          <w:color w:val="auto"/>
          <w:sz w:val="21"/>
          <w:lang w:val="en-US" w:eastAsia="zh-CN"/>
        </w:rPr>
        <w:t>格</w:t>
      </w:r>
      <w:r>
        <w:rPr>
          <w:rFonts w:hint="eastAsia"/>
          <w:color w:val="auto"/>
          <w:sz w:val="21"/>
        </w:rPr>
        <w:t>不能高于南方电网代理</w:t>
      </w:r>
      <w:r>
        <w:rPr>
          <w:rFonts w:hint="eastAsia"/>
          <w:color w:val="auto"/>
          <w:sz w:val="21"/>
          <w:lang w:val="en-US" w:eastAsia="zh-CN"/>
        </w:rPr>
        <w:t>电能量</w:t>
      </w:r>
      <w:r>
        <w:rPr>
          <w:rFonts w:hint="eastAsia"/>
          <w:color w:val="auto"/>
          <w:sz w:val="21"/>
        </w:rPr>
        <w:t>价格。如高于南方电网代理电</w:t>
      </w:r>
      <w:r>
        <w:rPr>
          <w:rFonts w:hint="eastAsia"/>
          <w:color w:val="auto"/>
          <w:sz w:val="21"/>
          <w:lang w:val="en-US" w:eastAsia="zh-CN"/>
        </w:rPr>
        <w:t>能量</w:t>
      </w:r>
      <w:r>
        <w:rPr>
          <w:rFonts w:hint="eastAsia"/>
          <w:color w:val="auto"/>
          <w:sz w:val="21"/>
        </w:rPr>
        <w:t>价</w:t>
      </w:r>
      <w:r>
        <w:rPr>
          <w:rFonts w:hint="eastAsia"/>
          <w:color w:val="auto"/>
          <w:sz w:val="21"/>
          <w:lang w:val="en-US" w:eastAsia="zh-CN"/>
        </w:rPr>
        <w:t>格</w:t>
      </w:r>
      <w:r>
        <w:rPr>
          <w:rFonts w:hint="eastAsia"/>
          <w:color w:val="auto"/>
          <w:sz w:val="21"/>
        </w:rPr>
        <w:t>，则中标人向采购人返还实际使用电量*中标人中标价高于南方电网代理电</w:t>
      </w:r>
      <w:r>
        <w:rPr>
          <w:rFonts w:hint="eastAsia"/>
          <w:color w:val="auto"/>
          <w:sz w:val="21"/>
          <w:lang w:val="en-US" w:eastAsia="zh-CN"/>
        </w:rPr>
        <w:t>能量</w:t>
      </w:r>
      <w:r>
        <w:rPr>
          <w:rFonts w:hint="eastAsia"/>
          <w:color w:val="auto"/>
          <w:sz w:val="21"/>
        </w:rPr>
        <w:t>价</w:t>
      </w:r>
      <w:r>
        <w:rPr>
          <w:rFonts w:hint="eastAsia"/>
          <w:color w:val="auto"/>
          <w:sz w:val="21"/>
          <w:lang w:val="en-US" w:eastAsia="zh-CN"/>
        </w:rPr>
        <w:t>格</w:t>
      </w:r>
      <w:r>
        <w:rPr>
          <w:rFonts w:hint="eastAsia"/>
          <w:color w:val="auto"/>
          <w:sz w:val="21"/>
        </w:rPr>
        <w:t>部分的全部费用</w:t>
      </w:r>
      <w:r>
        <w:rPr>
          <w:rFonts w:hint="eastAsia"/>
          <w:color w:val="auto"/>
          <w:sz w:val="21"/>
          <w:lang w:eastAsia="zh-CN"/>
        </w:rPr>
        <w:t>。</w:t>
      </w:r>
      <w:r>
        <w:rPr>
          <w:color w:val="auto"/>
          <w:sz w:val="21"/>
        </w:rPr>
        <w:t>在协议期限内，中标</w:t>
      </w:r>
      <w:r>
        <w:rPr>
          <w:rFonts w:hint="eastAsia"/>
          <w:color w:val="auto"/>
          <w:sz w:val="21"/>
          <w:lang w:val="en-US" w:eastAsia="zh-CN"/>
        </w:rPr>
        <w:t>人</w:t>
      </w:r>
      <w:r>
        <w:rPr>
          <w:color w:val="auto"/>
          <w:sz w:val="21"/>
        </w:rPr>
        <w:t>的单价不做任何调整。</w:t>
      </w:r>
    </w:p>
    <w:p w14:paraId="4EA3912E">
      <w:pPr>
        <w:pStyle w:val="5"/>
        <w:jc w:val="both"/>
        <w:rPr>
          <w:color w:val="auto"/>
        </w:rPr>
      </w:pPr>
      <w:r>
        <w:rPr>
          <w:color w:val="auto"/>
          <w:sz w:val="21"/>
        </w:rPr>
        <w:t>2.3★电力资源采购期限一年。</w:t>
      </w:r>
    </w:p>
    <w:p w14:paraId="0E14F83E">
      <w:pPr>
        <w:pStyle w:val="5"/>
        <w:jc w:val="left"/>
        <w:rPr>
          <w:color w:val="auto"/>
        </w:rPr>
      </w:pPr>
      <w:r>
        <w:rPr>
          <w:color w:val="auto"/>
          <w:sz w:val="21"/>
        </w:rPr>
        <w:t>3.售电公司的报价均为含税报价，税率按照国家相关规定执行。</w:t>
      </w:r>
    </w:p>
    <w:p w14:paraId="13322344">
      <w:pPr>
        <w:pStyle w:val="5"/>
        <w:jc w:val="left"/>
        <w:rPr>
          <w:color w:val="auto"/>
        </w:rPr>
      </w:pPr>
      <w:r>
        <w:rPr>
          <w:color w:val="auto"/>
          <w:sz w:val="21"/>
        </w:rPr>
        <w:t>4.售电公司需协助医院完成电力交易平台注册工作，包括但不限于指导资料准备、协助系统录入、解答注册流程疑问等。在合同期内，售电公司需负责电力交易平台日常数据填报工作，医院提供所需基础资料，售电公司应确保数据填报的及时性、准确性和完整性。若因数据填报错误或延迟导致医院受到平台处罚或其他损失，售电公司需承担全部责任，并负责协助医院完成整改工作。</w:t>
      </w:r>
    </w:p>
    <w:p w14:paraId="7025E0DC">
      <w:pPr>
        <w:pStyle w:val="5"/>
        <w:jc w:val="both"/>
        <w:rPr>
          <w:color w:val="auto"/>
        </w:rPr>
      </w:pPr>
      <w:r>
        <w:rPr>
          <w:color w:val="auto"/>
          <w:sz w:val="21"/>
        </w:rPr>
        <w:t>4.服务内容包括但不限于：</w:t>
      </w:r>
    </w:p>
    <w:p w14:paraId="69D9B1E7">
      <w:pPr>
        <w:pStyle w:val="5"/>
        <w:jc w:val="both"/>
        <w:rPr>
          <w:color w:val="auto"/>
        </w:rPr>
      </w:pPr>
      <w:r>
        <w:rPr>
          <w:color w:val="auto"/>
          <w:sz w:val="21"/>
        </w:rPr>
        <w:t>4.1代理参与电力市场化交易，负责每月交易电量申报、交易、结算工作。</w:t>
      </w:r>
    </w:p>
    <w:p w14:paraId="5787AB57">
      <w:pPr>
        <w:pStyle w:val="5"/>
        <w:jc w:val="both"/>
        <w:rPr>
          <w:color w:val="auto"/>
        </w:rPr>
      </w:pPr>
      <w:r>
        <w:rPr>
          <w:color w:val="auto"/>
          <w:sz w:val="21"/>
        </w:rPr>
        <w:t>4.2负责电力交易平台市场注册及后期电力交易相关的全周期电力交易服务。</w:t>
      </w:r>
    </w:p>
    <w:p w14:paraId="5908E3A5">
      <w:pPr>
        <w:pStyle w:val="5"/>
        <w:jc w:val="both"/>
        <w:rPr>
          <w:color w:val="auto"/>
        </w:rPr>
      </w:pPr>
      <w:r>
        <w:rPr>
          <w:color w:val="auto"/>
          <w:sz w:val="21"/>
        </w:rPr>
        <w:t>4.3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14:paraId="5C3047FB">
      <w:pPr>
        <w:pStyle w:val="5"/>
        <w:jc w:val="both"/>
        <w:rPr>
          <w:color w:val="auto"/>
          <w:highlight w:val="none"/>
        </w:rPr>
      </w:pPr>
      <w:r>
        <w:rPr>
          <w:color w:val="auto"/>
          <w:sz w:val="21"/>
        </w:rPr>
        <w:t>4.4提供的购电服务应不改变采购方原有的用电习惯，供电模式和供电质量保障不变，所有</w:t>
      </w:r>
      <w:r>
        <w:rPr>
          <w:color w:val="auto"/>
          <w:sz w:val="21"/>
          <w:highlight w:val="none"/>
        </w:rPr>
        <w:t>交易流程全权委托中标供应商进行，具体工作内容及范围以采购人委托为准。</w:t>
      </w:r>
    </w:p>
    <w:p w14:paraId="21D3462B">
      <w:pPr>
        <w:pStyle w:val="5"/>
        <w:jc w:val="both"/>
        <w:rPr>
          <w:color w:val="auto"/>
          <w:sz w:val="21"/>
          <w:highlight w:val="none"/>
        </w:rPr>
      </w:pPr>
      <w:r>
        <w:rPr>
          <w:rFonts w:hint="eastAsia"/>
          <w:color w:val="auto"/>
          <w:sz w:val="21"/>
          <w:highlight w:val="none"/>
          <w:lang w:val="en-US" w:eastAsia="zh-CN"/>
        </w:rPr>
        <w:t>4.5</w:t>
      </w:r>
      <w:r>
        <w:rPr>
          <w:color w:val="auto"/>
          <w:sz w:val="21"/>
          <w:highlight w:val="none"/>
        </w:rPr>
        <w:t>用电数据分析与节能建议，根据实际用电特性，包括用电趋势分析、节能潜力评估等，提出针对性的节能建议和措施。</w:t>
      </w:r>
    </w:p>
    <w:p w14:paraId="1B19EC21">
      <w:pPr>
        <w:pStyle w:val="5"/>
        <w:jc w:val="left"/>
        <w:rPr>
          <w:color w:val="auto"/>
          <w:highlight w:val="none"/>
        </w:rPr>
      </w:pPr>
      <w:r>
        <w:rPr>
          <w:color w:val="auto"/>
          <w:sz w:val="21"/>
          <w:highlight w:val="none"/>
        </w:rPr>
        <w:t>三、违约责任：</w:t>
      </w:r>
    </w:p>
    <w:p w14:paraId="7F10959C">
      <w:pPr>
        <w:pStyle w:val="5"/>
        <w:jc w:val="both"/>
        <w:rPr>
          <w:color w:val="auto"/>
        </w:rPr>
      </w:pPr>
      <w:r>
        <w:rPr>
          <w:rFonts w:hint="eastAsia"/>
          <w:color w:val="auto"/>
          <w:sz w:val="21"/>
          <w:highlight w:val="none"/>
          <w:lang w:val="en-US" w:eastAsia="zh-CN"/>
        </w:rPr>
        <w:t>1</w:t>
      </w:r>
      <w:r>
        <w:rPr>
          <w:color w:val="auto"/>
          <w:sz w:val="21"/>
          <w:highlight w:val="none"/>
        </w:rPr>
        <w:t>、若售电公司存在提供虚假数据、拒不</w:t>
      </w:r>
      <w:r>
        <w:rPr>
          <w:color w:val="auto"/>
          <w:sz w:val="21"/>
        </w:rPr>
        <w:t>履行服务义务等严重违约行为，医院有权终止合同，还将其违约情况如实上报行业主管部门，并列入医院供应商黑名单，禁止其参与医院后续所有电力相关项目采购。同时，医院保留就售电公司违约行为造成的全部损失，通过法律途径追究其相应法律责任的权利。</w:t>
      </w:r>
    </w:p>
    <w:p w14:paraId="5F4CEFD4">
      <w:pPr>
        <w:pStyle w:val="5"/>
        <w:jc w:val="left"/>
        <w:rPr>
          <w:color w:val="auto"/>
        </w:rPr>
      </w:pPr>
      <w:r>
        <w:rPr>
          <w:rFonts w:hint="eastAsia"/>
          <w:color w:val="auto"/>
          <w:sz w:val="21"/>
          <w:lang w:val="en-US" w:eastAsia="zh-CN"/>
        </w:rPr>
        <w:t>2</w:t>
      </w:r>
      <w:r>
        <w:rPr>
          <w:color w:val="auto"/>
          <w:sz w:val="21"/>
        </w:rPr>
        <w:t>、服务期限内，若因中标人供电不足导致采购人无法正常购电的，中标人应向采购人支付因中标人违约而造成的经济损失。</w:t>
      </w:r>
    </w:p>
    <w:p w14:paraId="6793A7C3">
      <w:pPr>
        <w:pStyle w:val="5"/>
        <w:jc w:val="both"/>
        <w:rPr>
          <w:color w:val="auto"/>
          <w:sz w:val="21"/>
        </w:rPr>
      </w:pPr>
      <w:r>
        <w:rPr>
          <w:rFonts w:hint="eastAsia"/>
          <w:color w:val="auto"/>
          <w:sz w:val="21"/>
          <w:lang w:val="en-US" w:eastAsia="zh-CN"/>
        </w:rPr>
        <w:t>3、</w:t>
      </w:r>
      <w:r>
        <w:rPr>
          <w:color w:val="auto"/>
          <w:sz w:val="21"/>
        </w:rPr>
        <w:t>市场风险防控条款： 按合同超额电费共担条款执行。超额电费共担条款：采购人平段电量结算价格较市场月度加权平均价超出30%部分的费用由中标人承担，低于20%部分的费用由采购人返还给中标人。</w:t>
      </w:r>
    </w:p>
    <w:p w14:paraId="6A3B616C">
      <w:pPr>
        <w:pStyle w:val="5"/>
        <w:jc w:val="both"/>
        <w:rPr>
          <w:color w:val="auto"/>
          <w:sz w:val="21"/>
        </w:rPr>
      </w:pPr>
    </w:p>
    <w:p w14:paraId="50FE6DF2">
      <w:pPr>
        <w:pStyle w:val="5"/>
        <w:rPr>
          <w:color w:val="auto"/>
        </w:rPr>
      </w:pPr>
      <w:r>
        <w:rPr>
          <w:color w:val="auto"/>
        </w:rPr>
        <w:t>采购包1（市场化购电服务）</w:t>
      </w:r>
      <w:r>
        <w:rPr>
          <w:b/>
          <w:color w:val="auto"/>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C17B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D4D08D">
            <w:pPr>
              <w:pStyle w:val="5"/>
              <w:rPr>
                <w:color w:val="auto"/>
              </w:rPr>
            </w:pPr>
            <w:r>
              <w:rPr>
                <w:color w:val="auto"/>
              </w:rPr>
              <w:t>标的提供的时间</w:t>
            </w:r>
          </w:p>
        </w:tc>
        <w:tc>
          <w:tcPr>
            <w:tcW w:w="4153" w:type="dxa"/>
          </w:tcPr>
          <w:p w14:paraId="5203CBA7">
            <w:pPr>
              <w:pStyle w:val="5"/>
              <w:rPr>
                <w:color w:val="auto"/>
              </w:rPr>
            </w:pPr>
            <w:r>
              <w:rPr>
                <w:color w:val="auto"/>
              </w:rPr>
              <w:t>自合同签订之日起一年。</w:t>
            </w:r>
          </w:p>
        </w:tc>
      </w:tr>
      <w:tr w14:paraId="7E20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6560DB">
            <w:pPr>
              <w:pStyle w:val="5"/>
              <w:rPr>
                <w:color w:val="auto"/>
              </w:rPr>
            </w:pPr>
            <w:r>
              <w:rPr>
                <w:color w:val="auto"/>
              </w:rPr>
              <w:t>标的提供的地点</w:t>
            </w:r>
          </w:p>
        </w:tc>
        <w:tc>
          <w:tcPr>
            <w:tcW w:w="4153" w:type="dxa"/>
          </w:tcPr>
          <w:p w14:paraId="071CC968">
            <w:pPr>
              <w:pStyle w:val="5"/>
              <w:rPr>
                <w:color w:val="auto"/>
              </w:rPr>
            </w:pPr>
            <w:r>
              <w:rPr>
                <w:color w:val="auto"/>
              </w:rPr>
              <w:t>采购人指定的地点。</w:t>
            </w:r>
          </w:p>
        </w:tc>
      </w:tr>
      <w:tr w14:paraId="0377C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43E7AC">
            <w:pPr>
              <w:pStyle w:val="5"/>
              <w:rPr>
                <w:color w:val="auto"/>
              </w:rPr>
            </w:pPr>
            <w:r>
              <w:rPr>
                <w:color w:val="auto"/>
              </w:rPr>
              <w:t>付款方式</w:t>
            </w:r>
          </w:p>
        </w:tc>
        <w:tc>
          <w:tcPr>
            <w:tcW w:w="4153" w:type="dxa"/>
          </w:tcPr>
          <w:p w14:paraId="57C397D2">
            <w:pPr>
              <w:pStyle w:val="5"/>
              <w:rPr>
                <w:color w:val="auto"/>
              </w:rPr>
            </w:pPr>
            <w:r>
              <w:rPr>
                <w:color w:val="auto"/>
              </w:rPr>
              <w:t>第1期为(进度款)：支付比例100%，1.按照《广东电力市场交易基本规则》、《广东电力市场结算实施细则》以及现货运行有关要求进行结算。 2.每月实际交易电量以供电企业电力计量装置采集并推送至广东电力交易中心发布的实际用电量为准，采购人的电费结算方式为月度结算，每月20日前自动扣费到供电局。 3.本项目合同约定价格为电能量价格，最终到户电价按电网公司和广东省电力交易中心的政策规定执行。广东省电力交易中心依据合同的电能量价格约定进行电费结算，中标人和购电方不产生财务往来。</w:t>
            </w:r>
          </w:p>
        </w:tc>
      </w:tr>
      <w:tr w14:paraId="76381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E04952E">
            <w:pPr>
              <w:pStyle w:val="5"/>
              <w:rPr>
                <w:color w:val="auto"/>
              </w:rPr>
            </w:pPr>
            <w:r>
              <w:rPr>
                <w:color w:val="auto"/>
              </w:rPr>
              <w:t>如项目发生合同融资，采购人应当将合同款项支付到合同约定收款账户。</w:t>
            </w:r>
          </w:p>
        </w:tc>
      </w:tr>
      <w:tr w14:paraId="67F2D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517793">
            <w:pPr>
              <w:pStyle w:val="5"/>
              <w:rPr>
                <w:color w:val="auto"/>
              </w:rPr>
            </w:pPr>
            <w:r>
              <w:rPr>
                <w:color w:val="auto"/>
              </w:rPr>
              <w:t>验收要求</w:t>
            </w:r>
          </w:p>
        </w:tc>
        <w:tc>
          <w:tcPr>
            <w:tcW w:w="4153" w:type="dxa"/>
          </w:tcPr>
          <w:p w14:paraId="5C249B40">
            <w:pPr>
              <w:pStyle w:val="5"/>
              <w:rPr>
                <w:color w:val="auto"/>
              </w:rPr>
            </w:pPr>
            <w:r>
              <w:rPr>
                <w:color w:val="auto"/>
              </w:rPr>
              <w:t>1期：按国家有关规定以及采购文件的服务要求、中标人的投标文件及承诺与合同约定标准进行验收。</w:t>
            </w:r>
          </w:p>
        </w:tc>
      </w:tr>
      <w:tr w14:paraId="4DE6E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CBB5C1">
            <w:pPr>
              <w:pStyle w:val="5"/>
              <w:rPr>
                <w:color w:val="auto"/>
              </w:rPr>
            </w:pPr>
            <w:r>
              <w:rPr>
                <w:color w:val="auto"/>
              </w:rPr>
              <w:t>履约保证金</w:t>
            </w:r>
          </w:p>
        </w:tc>
        <w:tc>
          <w:tcPr>
            <w:tcW w:w="4153" w:type="dxa"/>
          </w:tcPr>
          <w:p w14:paraId="7C9C8D63">
            <w:pPr>
              <w:pStyle w:val="5"/>
              <w:rPr>
                <w:color w:val="auto"/>
              </w:rPr>
            </w:pPr>
            <w:r>
              <w:rPr>
                <w:color w:val="auto"/>
              </w:rPr>
              <w:t>不收取</w:t>
            </w:r>
          </w:p>
        </w:tc>
      </w:tr>
      <w:tr w14:paraId="7687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EB1A4A">
            <w:pPr>
              <w:pStyle w:val="5"/>
              <w:rPr>
                <w:color w:val="auto"/>
              </w:rPr>
            </w:pPr>
            <w:r>
              <w:rPr>
                <w:color w:val="auto"/>
              </w:rPr>
              <w:t>其他</w:t>
            </w:r>
          </w:p>
        </w:tc>
        <w:tc>
          <w:tcPr>
            <w:tcW w:w="4153" w:type="dxa"/>
          </w:tcPr>
          <w:p w14:paraId="50ECB641">
            <w:pPr>
              <w:pStyle w:val="5"/>
              <w:rPr>
                <w:color w:val="auto"/>
              </w:rPr>
            </w:pPr>
          </w:p>
        </w:tc>
      </w:tr>
    </w:tbl>
    <w:p w14:paraId="65DC6D54">
      <w:pPr>
        <w:pStyle w:val="5"/>
        <w:rPr>
          <w:color w:val="auto"/>
        </w:rPr>
      </w:pPr>
      <w:r>
        <w:rPr>
          <w:color w:val="auto"/>
        </w:rPr>
        <w:t>其他商务需求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633A3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768A42DC">
            <w:pPr>
              <w:pStyle w:val="5"/>
              <w:jc w:val="center"/>
              <w:rPr>
                <w:color w:val="auto"/>
              </w:rPr>
            </w:pPr>
            <w:r>
              <w:rPr>
                <w:color w:val="auto"/>
              </w:rPr>
              <w:t>参数性质</w:t>
            </w:r>
          </w:p>
        </w:tc>
        <w:tc>
          <w:tcPr>
            <w:tcW w:w="2076" w:type="dxa"/>
            <w:gridSpan w:val="2"/>
          </w:tcPr>
          <w:p w14:paraId="49967F65">
            <w:pPr>
              <w:pStyle w:val="5"/>
              <w:jc w:val="center"/>
              <w:rPr>
                <w:color w:val="auto"/>
              </w:rPr>
            </w:pPr>
            <w:r>
              <w:rPr>
                <w:color w:val="auto"/>
              </w:rPr>
              <w:t>编号</w:t>
            </w:r>
          </w:p>
        </w:tc>
        <w:tc>
          <w:tcPr>
            <w:tcW w:w="2076" w:type="dxa"/>
          </w:tcPr>
          <w:p w14:paraId="18D84A23">
            <w:pPr>
              <w:pStyle w:val="5"/>
              <w:jc w:val="center"/>
              <w:rPr>
                <w:color w:val="auto"/>
              </w:rPr>
            </w:pPr>
            <w:r>
              <w:rPr>
                <w:color w:val="auto"/>
              </w:rPr>
              <w:t>内容明细</w:t>
            </w:r>
          </w:p>
        </w:tc>
        <w:tc>
          <w:tcPr>
            <w:tcW w:w="2076" w:type="dxa"/>
          </w:tcPr>
          <w:p w14:paraId="65CB2D77">
            <w:pPr>
              <w:pStyle w:val="5"/>
              <w:jc w:val="center"/>
              <w:rPr>
                <w:color w:val="auto"/>
              </w:rPr>
            </w:pPr>
            <w:r>
              <w:rPr>
                <w:color w:val="auto"/>
              </w:rPr>
              <w:t>内容说明</w:t>
            </w:r>
          </w:p>
        </w:tc>
      </w:tr>
      <w:tr w14:paraId="7A039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1F4100EB">
            <w:pPr>
              <w:pStyle w:val="5"/>
              <w:jc w:val="center"/>
              <w:rPr>
                <w:color w:val="auto"/>
              </w:rPr>
            </w:pPr>
            <w:r>
              <w:rPr>
                <w:color w:val="auto"/>
              </w:rPr>
              <w:t>★</w:t>
            </w:r>
          </w:p>
        </w:tc>
        <w:tc>
          <w:tcPr>
            <w:tcW w:w="2076" w:type="dxa"/>
            <w:gridSpan w:val="2"/>
          </w:tcPr>
          <w:p w14:paraId="734596B7">
            <w:pPr>
              <w:pStyle w:val="5"/>
              <w:jc w:val="center"/>
              <w:rPr>
                <w:color w:val="auto"/>
              </w:rPr>
            </w:pPr>
            <w:r>
              <w:rPr>
                <w:color w:val="auto"/>
              </w:rPr>
              <w:t>1</w:t>
            </w:r>
          </w:p>
        </w:tc>
        <w:tc>
          <w:tcPr>
            <w:tcW w:w="2076" w:type="dxa"/>
          </w:tcPr>
          <w:p w14:paraId="5E211922">
            <w:pPr>
              <w:pStyle w:val="5"/>
              <w:jc w:val="left"/>
              <w:rPr>
                <w:color w:val="auto"/>
              </w:rPr>
            </w:pPr>
            <w:r>
              <w:rPr>
                <w:color w:val="auto"/>
              </w:rPr>
              <w:t>服务期限</w:t>
            </w:r>
          </w:p>
        </w:tc>
        <w:tc>
          <w:tcPr>
            <w:tcW w:w="2076" w:type="dxa"/>
          </w:tcPr>
          <w:p w14:paraId="67F4C717">
            <w:pPr>
              <w:pStyle w:val="5"/>
              <w:jc w:val="left"/>
              <w:rPr>
                <w:color w:val="auto"/>
              </w:rPr>
            </w:pPr>
            <w:r>
              <w:rPr>
                <w:color w:val="auto"/>
              </w:rPr>
              <w:t>自合同签订之日起一年。</w:t>
            </w:r>
          </w:p>
        </w:tc>
      </w:tr>
      <w:tr w14:paraId="25E38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394BDB3D">
            <w:pPr>
              <w:pStyle w:val="5"/>
              <w:jc w:val="center"/>
              <w:rPr>
                <w:color w:val="auto"/>
              </w:rPr>
            </w:pPr>
            <w:r>
              <w:rPr>
                <w:color w:val="auto"/>
              </w:rPr>
              <w:t>★</w:t>
            </w:r>
          </w:p>
        </w:tc>
        <w:tc>
          <w:tcPr>
            <w:tcW w:w="2076" w:type="dxa"/>
            <w:gridSpan w:val="2"/>
          </w:tcPr>
          <w:p w14:paraId="3B3165E8">
            <w:pPr>
              <w:pStyle w:val="5"/>
              <w:jc w:val="center"/>
              <w:rPr>
                <w:color w:val="auto"/>
              </w:rPr>
            </w:pPr>
            <w:r>
              <w:rPr>
                <w:color w:val="auto"/>
              </w:rPr>
              <w:t>2</w:t>
            </w:r>
          </w:p>
        </w:tc>
        <w:tc>
          <w:tcPr>
            <w:tcW w:w="2076" w:type="dxa"/>
          </w:tcPr>
          <w:p w14:paraId="4B703E56">
            <w:pPr>
              <w:pStyle w:val="5"/>
              <w:jc w:val="left"/>
              <w:rPr>
                <w:color w:val="auto"/>
              </w:rPr>
            </w:pPr>
            <w:r>
              <w:rPr>
                <w:color w:val="auto"/>
              </w:rPr>
              <w:t>报价要求</w:t>
            </w:r>
          </w:p>
        </w:tc>
        <w:tc>
          <w:tcPr>
            <w:tcW w:w="2076" w:type="dxa"/>
          </w:tcPr>
          <w:p w14:paraId="0B5CD0F8">
            <w:pPr>
              <w:pStyle w:val="5"/>
              <w:jc w:val="left"/>
              <w:rPr>
                <w:color w:val="auto"/>
              </w:rPr>
            </w:pPr>
            <w:r>
              <w:rPr>
                <w:color w:val="auto"/>
              </w:rPr>
              <w:t>供应商报价（固定电能量电费价格）（1兆瓦时等于1000千瓦时，100元/兆瓦时等于0.1元/千瓦时。）必须以“元/兆瓦时”为单位进行投标报价。报价需含代理服务费等所有费用，且</w:t>
            </w:r>
            <w:r>
              <w:rPr>
                <w:rFonts w:hint="eastAsia"/>
                <w:color w:val="auto"/>
              </w:rPr>
              <w:t>合同履约期间中标人承诺电</w:t>
            </w:r>
            <w:r>
              <w:rPr>
                <w:rFonts w:hint="eastAsia"/>
                <w:color w:val="auto"/>
                <w:lang w:val="en-US" w:eastAsia="zh-CN"/>
              </w:rPr>
              <w:t>能量</w:t>
            </w:r>
            <w:r>
              <w:rPr>
                <w:rFonts w:hint="eastAsia"/>
                <w:color w:val="auto"/>
              </w:rPr>
              <w:t>价</w:t>
            </w:r>
            <w:r>
              <w:rPr>
                <w:rFonts w:hint="eastAsia"/>
                <w:color w:val="auto"/>
                <w:lang w:val="en-US" w:eastAsia="zh-CN"/>
              </w:rPr>
              <w:t>格</w:t>
            </w:r>
            <w:r>
              <w:rPr>
                <w:rFonts w:hint="eastAsia"/>
                <w:color w:val="auto"/>
              </w:rPr>
              <w:t>不能高于南方电网代理</w:t>
            </w:r>
            <w:r>
              <w:rPr>
                <w:rFonts w:hint="eastAsia"/>
                <w:color w:val="auto"/>
                <w:lang w:val="en-US" w:eastAsia="zh-CN"/>
              </w:rPr>
              <w:t>电能量</w:t>
            </w:r>
            <w:r>
              <w:rPr>
                <w:rFonts w:hint="eastAsia"/>
                <w:color w:val="auto"/>
              </w:rPr>
              <w:t>价格。如高于南方电网代理电</w:t>
            </w:r>
            <w:r>
              <w:rPr>
                <w:rFonts w:hint="eastAsia"/>
                <w:color w:val="auto"/>
                <w:lang w:val="en-US" w:eastAsia="zh-CN"/>
              </w:rPr>
              <w:t>能量</w:t>
            </w:r>
            <w:r>
              <w:rPr>
                <w:rFonts w:hint="eastAsia"/>
                <w:color w:val="auto"/>
              </w:rPr>
              <w:t>价</w:t>
            </w:r>
            <w:r>
              <w:rPr>
                <w:rFonts w:hint="eastAsia"/>
                <w:color w:val="auto"/>
                <w:lang w:val="en-US" w:eastAsia="zh-CN"/>
              </w:rPr>
              <w:t>格</w:t>
            </w:r>
            <w:r>
              <w:rPr>
                <w:rFonts w:hint="eastAsia"/>
                <w:color w:val="auto"/>
              </w:rPr>
              <w:t>，则中标人向采购人返还实际使用电量*中标人中标价高于南方电网代理电</w:t>
            </w:r>
            <w:r>
              <w:rPr>
                <w:rFonts w:hint="eastAsia"/>
                <w:color w:val="auto"/>
                <w:lang w:val="en-US" w:eastAsia="zh-CN"/>
              </w:rPr>
              <w:t>能量</w:t>
            </w:r>
            <w:r>
              <w:rPr>
                <w:rFonts w:hint="eastAsia"/>
                <w:color w:val="auto"/>
              </w:rPr>
              <w:t>价</w:t>
            </w:r>
            <w:r>
              <w:rPr>
                <w:rFonts w:hint="eastAsia"/>
                <w:color w:val="auto"/>
                <w:lang w:val="en-US" w:eastAsia="zh-CN"/>
              </w:rPr>
              <w:t>格</w:t>
            </w:r>
            <w:r>
              <w:rPr>
                <w:rFonts w:hint="eastAsia"/>
                <w:color w:val="auto"/>
              </w:rPr>
              <w:t>部分的全部费用</w:t>
            </w:r>
            <w:r>
              <w:rPr>
                <w:rFonts w:hint="eastAsia"/>
                <w:color w:val="auto"/>
                <w:lang w:eastAsia="zh-CN"/>
              </w:rPr>
              <w:t>。</w:t>
            </w:r>
            <w:r>
              <w:rPr>
                <w:color w:val="auto"/>
              </w:rPr>
              <w:t>中标方的单价不做任何调整。</w:t>
            </w:r>
          </w:p>
        </w:tc>
      </w:tr>
      <w:tr w14:paraId="17558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2779CD81">
            <w:pPr>
              <w:pStyle w:val="5"/>
              <w:rPr>
                <w:color w:val="auto"/>
              </w:rPr>
            </w:pPr>
            <w:r>
              <w:rPr>
                <w:color w:val="auto"/>
              </w:rPr>
              <w:t>说明</w:t>
            </w:r>
          </w:p>
        </w:tc>
        <w:tc>
          <w:tcPr>
            <w:tcW w:w="5538" w:type="dxa"/>
            <w:gridSpan w:val="4"/>
          </w:tcPr>
          <w:p w14:paraId="2A17FE4F">
            <w:pPr>
              <w:pStyle w:val="5"/>
              <w:jc w:val="left"/>
              <w:rPr>
                <w:color w:val="auto"/>
              </w:rPr>
            </w:pPr>
            <w:r>
              <w:rPr>
                <w:color w:val="auto"/>
              </w:rPr>
              <w:t xml:space="preserve"> 打“★”号条款为实质性条款，若有任何一条负偏离或不满足则导致投标（响应）无效。 </w:t>
            </w:r>
            <w:r>
              <w:rPr>
                <w:color w:val="auto"/>
              </w:rPr>
              <w:br w:type="textWrapping"/>
            </w:r>
            <w:r>
              <w:rPr>
                <w:color w:val="auto"/>
              </w:rPr>
              <w:t>打“▲”号条款为重要参数（如有</w:t>
            </w:r>
            <w:bookmarkStart w:id="0" w:name="_GoBack"/>
            <w:bookmarkEnd w:id="0"/>
            <w:r>
              <w:rPr>
                <w:color w:val="auto"/>
              </w:rPr>
              <w:t>），若有部分“▲”条款未响应或不满足，将根据评审要求影响其得分，但不作为无效投标（响应）条款。</w:t>
            </w:r>
          </w:p>
        </w:tc>
      </w:tr>
    </w:tbl>
    <w:p w14:paraId="692A58F3">
      <w:pPr>
        <w:pStyle w:val="5"/>
        <w:rPr>
          <w:color w:val="auto"/>
        </w:rPr>
      </w:pPr>
      <w:r>
        <w:rPr>
          <w:b/>
          <w:color w:val="auto"/>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933"/>
        <w:gridCol w:w="933"/>
        <w:gridCol w:w="933"/>
        <w:gridCol w:w="933"/>
        <w:gridCol w:w="933"/>
        <w:gridCol w:w="933"/>
        <w:gridCol w:w="840"/>
        <w:gridCol w:w="933"/>
      </w:tblGrid>
      <w:tr w14:paraId="664A5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143230B">
            <w:pPr>
              <w:pStyle w:val="5"/>
              <w:jc w:val="center"/>
              <w:rPr>
                <w:color w:val="auto"/>
              </w:rPr>
            </w:pPr>
            <w:r>
              <w:rPr>
                <w:color w:val="auto"/>
              </w:rPr>
              <w:t>序号</w:t>
            </w:r>
          </w:p>
        </w:tc>
        <w:tc>
          <w:tcPr>
            <w:tcW w:w="933" w:type="dxa"/>
          </w:tcPr>
          <w:p w14:paraId="7BACAAF3">
            <w:pPr>
              <w:pStyle w:val="5"/>
              <w:jc w:val="center"/>
              <w:rPr>
                <w:color w:val="auto"/>
              </w:rPr>
            </w:pPr>
            <w:r>
              <w:rPr>
                <w:color w:val="auto"/>
              </w:rPr>
              <w:t>品目名称</w:t>
            </w:r>
          </w:p>
        </w:tc>
        <w:tc>
          <w:tcPr>
            <w:tcW w:w="933" w:type="dxa"/>
          </w:tcPr>
          <w:p w14:paraId="5BCE7C6A">
            <w:pPr>
              <w:pStyle w:val="5"/>
              <w:jc w:val="center"/>
              <w:rPr>
                <w:color w:val="auto"/>
              </w:rPr>
            </w:pPr>
            <w:r>
              <w:rPr>
                <w:color w:val="auto"/>
              </w:rPr>
              <w:t>标的名称</w:t>
            </w:r>
          </w:p>
        </w:tc>
        <w:tc>
          <w:tcPr>
            <w:tcW w:w="933" w:type="dxa"/>
          </w:tcPr>
          <w:p w14:paraId="0B6D6A68">
            <w:pPr>
              <w:pStyle w:val="5"/>
              <w:jc w:val="center"/>
              <w:rPr>
                <w:color w:val="auto"/>
              </w:rPr>
            </w:pPr>
            <w:r>
              <w:rPr>
                <w:color w:val="auto"/>
              </w:rPr>
              <w:t>单位</w:t>
            </w:r>
          </w:p>
        </w:tc>
        <w:tc>
          <w:tcPr>
            <w:tcW w:w="933" w:type="dxa"/>
          </w:tcPr>
          <w:p w14:paraId="20615705">
            <w:pPr>
              <w:pStyle w:val="5"/>
              <w:jc w:val="center"/>
              <w:rPr>
                <w:color w:val="auto"/>
              </w:rPr>
            </w:pPr>
            <w:r>
              <w:rPr>
                <w:color w:val="auto"/>
              </w:rPr>
              <w:t>数量</w:t>
            </w:r>
          </w:p>
        </w:tc>
        <w:tc>
          <w:tcPr>
            <w:tcW w:w="933" w:type="dxa"/>
          </w:tcPr>
          <w:p w14:paraId="29DA8182">
            <w:pPr>
              <w:pStyle w:val="5"/>
              <w:jc w:val="center"/>
              <w:rPr>
                <w:color w:val="auto"/>
              </w:rPr>
            </w:pPr>
            <w:r>
              <w:rPr>
                <w:color w:val="auto"/>
              </w:rPr>
              <w:t>分项预算单价（元）</w:t>
            </w:r>
          </w:p>
        </w:tc>
        <w:tc>
          <w:tcPr>
            <w:tcW w:w="933" w:type="dxa"/>
          </w:tcPr>
          <w:p w14:paraId="13796C6E">
            <w:pPr>
              <w:pStyle w:val="5"/>
              <w:jc w:val="center"/>
              <w:rPr>
                <w:color w:val="auto"/>
              </w:rPr>
            </w:pPr>
            <w:r>
              <w:rPr>
                <w:color w:val="auto"/>
              </w:rPr>
              <w:t>分项预算总价（元）</w:t>
            </w:r>
          </w:p>
        </w:tc>
        <w:tc>
          <w:tcPr>
            <w:tcW w:w="840" w:type="dxa"/>
          </w:tcPr>
          <w:p w14:paraId="1A8C701B">
            <w:pPr>
              <w:pStyle w:val="5"/>
              <w:rPr>
                <w:color w:val="auto"/>
              </w:rPr>
            </w:pPr>
            <w:r>
              <w:rPr>
                <w:color w:val="auto"/>
              </w:rPr>
              <w:t>所属行业</w:t>
            </w:r>
          </w:p>
        </w:tc>
        <w:tc>
          <w:tcPr>
            <w:tcW w:w="933" w:type="dxa"/>
          </w:tcPr>
          <w:p w14:paraId="3DE85373">
            <w:pPr>
              <w:pStyle w:val="5"/>
              <w:jc w:val="center"/>
              <w:rPr>
                <w:color w:val="auto"/>
              </w:rPr>
            </w:pPr>
            <w:r>
              <w:rPr>
                <w:color w:val="auto"/>
              </w:rPr>
              <w:t>技术要求</w:t>
            </w:r>
          </w:p>
        </w:tc>
      </w:tr>
      <w:tr w14:paraId="7A807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9F3E13D">
            <w:pPr>
              <w:pStyle w:val="5"/>
              <w:jc w:val="center"/>
              <w:rPr>
                <w:color w:val="auto"/>
              </w:rPr>
            </w:pPr>
            <w:r>
              <w:rPr>
                <w:color w:val="auto"/>
              </w:rPr>
              <w:t>1</w:t>
            </w:r>
          </w:p>
        </w:tc>
        <w:tc>
          <w:tcPr>
            <w:tcW w:w="933" w:type="dxa"/>
          </w:tcPr>
          <w:p w14:paraId="22AE4B33">
            <w:pPr>
              <w:pStyle w:val="5"/>
              <w:jc w:val="left"/>
              <w:rPr>
                <w:color w:val="auto"/>
              </w:rPr>
            </w:pPr>
            <w:r>
              <w:rPr>
                <w:color w:val="auto"/>
              </w:rPr>
              <w:t>电力分配服务</w:t>
            </w:r>
          </w:p>
        </w:tc>
        <w:tc>
          <w:tcPr>
            <w:tcW w:w="933" w:type="dxa"/>
          </w:tcPr>
          <w:p w14:paraId="080FA703">
            <w:pPr>
              <w:pStyle w:val="5"/>
              <w:jc w:val="left"/>
              <w:rPr>
                <w:color w:val="auto"/>
              </w:rPr>
            </w:pPr>
            <w:r>
              <w:rPr>
                <w:color w:val="auto"/>
              </w:rPr>
              <w:t>市场化购电服务</w:t>
            </w:r>
          </w:p>
        </w:tc>
        <w:tc>
          <w:tcPr>
            <w:tcW w:w="933" w:type="dxa"/>
          </w:tcPr>
          <w:p w14:paraId="44577B4D">
            <w:pPr>
              <w:pStyle w:val="5"/>
              <w:jc w:val="left"/>
              <w:rPr>
                <w:color w:val="auto"/>
              </w:rPr>
            </w:pPr>
            <w:r>
              <w:rPr>
                <w:color w:val="auto"/>
              </w:rPr>
              <w:t>年</w:t>
            </w:r>
          </w:p>
        </w:tc>
        <w:tc>
          <w:tcPr>
            <w:tcW w:w="933" w:type="dxa"/>
          </w:tcPr>
          <w:p w14:paraId="64E288EE">
            <w:pPr>
              <w:pStyle w:val="5"/>
              <w:jc w:val="right"/>
              <w:rPr>
                <w:color w:val="auto"/>
              </w:rPr>
            </w:pPr>
            <w:r>
              <w:rPr>
                <w:color w:val="auto"/>
              </w:rPr>
              <w:t>1.00</w:t>
            </w:r>
          </w:p>
        </w:tc>
        <w:tc>
          <w:tcPr>
            <w:tcW w:w="933" w:type="dxa"/>
          </w:tcPr>
          <w:p w14:paraId="4CED8C63">
            <w:pPr>
              <w:pStyle w:val="5"/>
              <w:jc w:val="right"/>
              <w:rPr>
                <w:color w:val="auto"/>
              </w:rPr>
            </w:pPr>
          </w:p>
        </w:tc>
        <w:tc>
          <w:tcPr>
            <w:tcW w:w="933" w:type="dxa"/>
          </w:tcPr>
          <w:p w14:paraId="2B4FAFB3">
            <w:pPr>
              <w:pStyle w:val="5"/>
              <w:jc w:val="right"/>
              <w:rPr>
                <w:color w:val="auto"/>
              </w:rPr>
            </w:pPr>
          </w:p>
        </w:tc>
        <w:tc>
          <w:tcPr>
            <w:tcW w:w="840" w:type="dxa"/>
          </w:tcPr>
          <w:p w14:paraId="0A3730F8">
            <w:pPr>
              <w:pStyle w:val="5"/>
              <w:rPr>
                <w:color w:val="auto"/>
              </w:rPr>
            </w:pPr>
            <w:r>
              <w:rPr>
                <w:color w:val="auto"/>
              </w:rPr>
              <w:t>工业</w:t>
            </w:r>
          </w:p>
        </w:tc>
        <w:tc>
          <w:tcPr>
            <w:tcW w:w="933" w:type="dxa"/>
          </w:tcPr>
          <w:p w14:paraId="5520BD22">
            <w:pPr>
              <w:pStyle w:val="5"/>
              <w:rPr>
                <w:color w:val="auto"/>
              </w:rPr>
            </w:pPr>
            <w:r>
              <w:rPr>
                <w:color w:val="auto"/>
              </w:rPr>
              <w:t>详见附表一</w:t>
            </w:r>
          </w:p>
        </w:tc>
      </w:tr>
    </w:tbl>
    <w:p w14:paraId="22C21A4C">
      <w:pPr>
        <w:pStyle w:val="5"/>
        <w:rPr>
          <w:color w:val="auto"/>
        </w:rPr>
      </w:pPr>
      <w:r>
        <w:rPr>
          <w:b/>
          <w:color w:val="auto"/>
        </w:rPr>
        <w:t>附表一：市场化购电服务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1D65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3583E96C">
            <w:pPr>
              <w:pStyle w:val="5"/>
              <w:rPr>
                <w:color w:val="auto"/>
              </w:rPr>
            </w:pPr>
            <w:r>
              <w:rPr>
                <w:color w:val="auto"/>
              </w:rPr>
              <w:t>参数性质</w:t>
            </w:r>
          </w:p>
        </w:tc>
        <w:tc>
          <w:tcPr>
            <w:tcW w:w="415" w:type="dxa"/>
          </w:tcPr>
          <w:p w14:paraId="43778F13">
            <w:pPr>
              <w:pStyle w:val="5"/>
              <w:rPr>
                <w:color w:val="auto"/>
              </w:rPr>
            </w:pPr>
            <w:r>
              <w:rPr>
                <w:color w:val="auto"/>
              </w:rPr>
              <w:t>序号</w:t>
            </w:r>
          </w:p>
        </w:tc>
        <w:tc>
          <w:tcPr>
            <w:tcW w:w="5814" w:type="dxa"/>
          </w:tcPr>
          <w:p w14:paraId="0004DEC3">
            <w:pPr>
              <w:pStyle w:val="5"/>
              <w:rPr>
                <w:color w:val="auto"/>
              </w:rPr>
            </w:pPr>
            <w:r>
              <w:rPr>
                <w:color w:val="auto"/>
              </w:rPr>
              <w:t>具体技术(参数)要求</w:t>
            </w:r>
          </w:p>
        </w:tc>
      </w:tr>
      <w:tr w14:paraId="38C46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8D8B4E">
            <w:pPr>
              <w:rPr>
                <w:color w:val="auto"/>
              </w:rPr>
            </w:pPr>
          </w:p>
        </w:tc>
        <w:tc>
          <w:tcPr>
            <w:tcW w:w="415" w:type="dxa"/>
          </w:tcPr>
          <w:p w14:paraId="4F40102F">
            <w:pPr>
              <w:pStyle w:val="5"/>
              <w:rPr>
                <w:color w:val="auto"/>
              </w:rPr>
            </w:pPr>
            <w:r>
              <w:rPr>
                <w:color w:val="auto"/>
              </w:rPr>
              <w:t>1</w:t>
            </w:r>
          </w:p>
        </w:tc>
        <w:tc>
          <w:tcPr>
            <w:tcW w:w="5814" w:type="dxa"/>
          </w:tcPr>
          <w:p w14:paraId="48CABA12">
            <w:pPr>
              <w:pStyle w:val="5"/>
              <w:jc w:val="both"/>
              <w:rPr>
                <w:color w:val="auto"/>
              </w:rPr>
            </w:pPr>
            <w:r>
              <w:rPr>
                <w:b/>
                <w:color w:val="auto"/>
                <w:sz w:val="21"/>
              </w:rPr>
              <w:t>详见第二章采购需求</w:t>
            </w:r>
          </w:p>
        </w:tc>
      </w:tr>
      <w:tr w14:paraId="4CFEA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F06760">
            <w:pPr>
              <w:pStyle w:val="5"/>
              <w:rPr>
                <w:color w:val="auto"/>
              </w:rPr>
            </w:pPr>
            <w:r>
              <w:rPr>
                <w:color w:val="auto"/>
              </w:rPr>
              <w:t>说明</w:t>
            </w:r>
          </w:p>
        </w:tc>
        <w:tc>
          <w:tcPr>
            <w:tcW w:w="6229" w:type="dxa"/>
            <w:gridSpan w:val="2"/>
          </w:tcPr>
          <w:p w14:paraId="17008160">
            <w:pPr>
              <w:pStyle w:val="5"/>
              <w:jc w:val="left"/>
              <w:rPr>
                <w:color w:val="auto"/>
              </w:rPr>
            </w:pPr>
            <w:r>
              <w:rPr>
                <w:color w:val="auto"/>
              </w:rPr>
              <w:t xml:space="preserve"> 打“★”号条款为实质性条款，若有任何一条负偏离或不满足则导致投标无效。 </w:t>
            </w:r>
            <w:r>
              <w:rPr>
                <w:color w:val="auto"/>
              </w:rPr>
              <w:br w:type="textWrapping"/>
            </w:r>
            <w:r>
              <w:rPr>
                <w:color w:val="auto"/>
              </w:rPr>
              <w:t>打“▲”号条款为重要技术参数，若有部分“▲”条款未响应或不满足，将导致其响应性评审加重扣分，但不作为无效投标条款。</w:t>
            </w:r>
          </w:p>
        </w:tc>
      </w:tr>
    </w:tbl>
    <w:p w14:paraId="2179A4A7">
      <w:pPr>
        <w:pStyle w:val="5"/>
        <w:rPr>
          <w:color w:val="auto"/>
        </w:rPr>
      </w:pPr>
      <w:r>
        <w:rPr>
          <w:color w:val="auto"/>
        </w:rPr>
        <w:t xml:space="preserve">  </w:t>
      </w:r>
    </w:p>
    <w:p w14:paraId="31EF01D9">
      <w:pPr>
        <w:jc w:val="center"/>
        <w:rPr>
          <w:rFonts w:hint="eastAsia"/>
          <w:b/>
          <w:color w:val="auto"/>
          <w:sz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3F07EB"/>
    <w:rsid w:val="0724569B"/>
    <w:rsid w:val="08B84ACC"/>
    <w:rsid w:val="09D83701"/>
    <w:rsid w:val="0F3B5621"/>
    <w:rsid w:val="0F582B65"/>
    <w:rsid w:val="12BB10F9"/>
    <w:rsid w:val="15BE0F7E"/>
    <w:rsid w:val="177F50ED"/>
    <w:rsid w:val="191310CD"/>
    <w:rsid w:val="1C33473D"/>
    <w:rsid w:val="1E2A7DC2"/>
    <w:rsid w:val="1F385B14"/>
    <w:rsid w:val="28F17ED1"/>
    <w:rsid w:val="29B570DA"/>
    <w:rsid w:val="39015454"/>
    <w:rsid w:val="41826907"/>
    <w:rsid w:val="418503AB"/>
    <w:rsid w:val="430F4C79"/>
    <w:rsid w:val="45F96148"/>
    <w:rsid w:val="481A46CF"/>
    <w:rsid w:val="4A6A13C3"/>
    <w:rsid w:val="51FF131A"/>
    <w:rsid w:val="52D85DBA"/>
    <w:rsid w:val="532627B8"/>
    <w:rsid w:val="53B52B8D"/>
    <w:rsid w:val="540473F3"/>
    <w:rsid w:val="55F81808"/>
    <w:rsid w:val="5C9F4EFC"/>
    <w:rsid w:val="60F4412D"/>
    <w:rsid w:val="657A4758"/>
    <w:rsid w:val="65804A46"/>
    <w:rsid w:val="6D0F33FD"/>
    <w:rsid w:val="720A6FB7"/>
    <w:rsid w:val="72BA69FC"/>
    <w:rsid w:val="74D2645A"/>
    <w:rsid w:val="77F79321"/>
    <w:rsid w:val="7A79493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pPr>
    <w:rPr>
      <w:szCs w:val="20"/>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正文_0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3752</Words>
  <Characters>3967</Characters>
  <Lines>0</Lines>
  <Paragraphs>0</Paragraphs>
  <TotalTime>0</TotalTime>
  <ScaleCrop>false</ScaleCrop>
  <LinksUpToDate>false</LinksUpToDate>
  <CharactersWithSpaces>3987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代理</cp:lastModifiedBy>
  <dcterms:modified xsi:type="dcterms:W3CDTF">2025-08-25T09:23:38Z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eyJoZGlkIjoiOTc2ZDg2NzdjZTcwMmYwYjY0MmQyMzFkODM5MGZmYWUiLCJ1c2VySWQiOiI1MDEwNDcxNDMifQ==</vt:lpwstr>
  </property>
  <property fmtid="{D5CDD505-2E9C-101B-9397-08002B2CF9AE}" pid="4" name="ICV">
    <vt:lpwstr>ACF0F5127C494F5F8C58FDB7E5E003A1_13</vt:lpwstr>
  </property>
</Properties>
</file>