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440101-2025-16350</w:t>
      </w:r>
    </w:p>
    <w:p>
      <w:pPr>
        <w:pStyle w:val="null3"/>
        <w:jc w:val="center"/>
        <w:outlineLvl w:val="3"/>
      </w:pPr>
      <w:r>
        <w:rPr>
          <w:sz w:val="24"/>
          <w:b/>
        </w:rPr>
        <w:t>采购项目编号：</w:t>
      </w:r>
      <w:r>
        <w:rPr>
          <w:sz w:val="24"/>
          <w:b/>
        </w:rPr>
        <w:t>3587-2512GZG30904</w:t>
      </w:r>
    </w:p>
    <w:p>
      <w:pPr>
        <w:pStyle w:val="null3"/>
        <w:jc w:val="center"/>
        <w:outlineLvl w:val="3"/>
      </w:pPr>
      <w:r>
        <w:rPr>
          <w:sz w:val="24"/>
          <w:b/>
        </w:rPr>
        <w:t>项目名称：</w:t>
      </w:r>
      <w:r>
        <w:rPr>
          <w:sz w:val="24"/>
          <w:b/>
        </w:rPr>
        <w:t>广州医科大学附属肿瘤医院肿瘤高发六癌基因甲基化检测项目(二次)</w:t>
      </w:r>
    </w:p>
    <w:p>
      <w:pPr>
        <w:pStyle w:val="null3"/>
        <w:jc w:val="center"/>
        <w:outlineLvl w:val="3"/>
      </w:pPr>
      <w:r>
        <w:rPr>
          <w:sz w:val="24"/>
          <w:b/>
        </w:rPr>
        <w:t>采购人：</w:t>
      </w:r>
      <w:r>
        <w:rPr>
          <w:sz w:val="24"/>
          <w:b/>
        </w:rPr>
        <w:t>广州医科大学附属肿瘤医院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广州医科大学附属肿瘤医院</w:t>
      </w:r>
      <w:r>
        <w:rPr/>
        <w:t>的委托，采用</w:t>
      </w:r>
      <w:r>
        <w:rPr/>
        <w:t>公开招标</w:t>
      </w:r>
      <w:r>
        <w:rPr/>
        <w:t>方式组织采购</w:t>
      </w:r>
      <w:r>
        <w:rPr/>
        <w:t>广州医科大学附属肿瘤医院肿瘤高发六癌基因甲基化检测项目(二次)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广州医科大学附属肿瘤医院肿瘤高发六癌基因甲基化检测项目(二次)</w:t>
      </w:r>
    </w:p>
    <w:p>
      <w:pPr>
        <w:pStyle w:val="null3"/>
        <w:ind w:firstLine="480"/>
      </w:pPr>
      <w:r>
        <w:rPr/>
        <w:t>采购计划编号：</w:t>
      </w:r>
      <w:r>
        <w:rPr/>
        <w:t>440101-2025-16350</w:t>
      </w:r>
    </w:p>
    <w:p>
      <w:pPr>
        <w:pStyle w:val="null3"/>
        <w:ind w:firstLine="480"/>
      </w:pPr>
      <w:r>
        <w:rPr/>
        <w:t>采购项目编号：</w:t>
      </w:r>
      <w:r>
        <w:rPr/>
        <w:t>3587-2512GZG30904</w:t>
      </w:r>
    </w:p>
    <w:p>
      <w:pPr>
        <w:pStyle w:val="null3"/>
        <w:ind w:firstLine="480"/>
      </w:pPr>
      <w:r>
        <w:rPr/>
        <w:t>采购方式：</w:t>
      </w:r>
      <w:r>
        <w:rPr/>
        <w:t>公开招标</w:t>
      </w:r>
    </w:p>
    <w:p>
      <w:pPr>
        <w:pStyle w:val="null3"/>
        <w:ind w:firstLine="480"/>
      </w:pPr>
      <w:r>
        <w:rPr/>
        <w:t>预算金额：</w:t>
      </w:r>
      <w:r>
        <w:rPr/>
        <w:t>760,000.00</w:t>
      </w:r>
      <w:r>
        <w:rPr/>
        <w:t>元</w:t>
      </w:r>
    </w:p>
    <w:p>
      <w:pPr>
        <w:pStyle w:val="null3"/>
        <w:outlineLvl w:val="3"/>
      </w:pPr>
      <w:r>
        <w:rPr>
          <w:sz w:val="24"/>
          <w:b/>
        </w:rPr>
        <w:t>2.项目内容及需求情况（采购项目技术规格、参数及要求）</w:t>
      </w:r>
    </w:p>
    <w:p>
      <w:pPr>
        <w:pStyle w:val="null3"/>
      </w:pPr>
      <w:r>
        <w:rPr/>
        <w:t>采购包1(肿瘤高发六癌基因甲基化检测):</w:t>
      </w:r>
    </w:p>
    <w:p>
      <w:pPr>
        <w:pStyle w:val="null3"/>
      </w:pPr>
      <w:r>
        <w:rPr/>
        <w:t>采购包预算金额：760,000.00元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技术测试和分析服务</w:t>
            </w:r>
          </w:p>
        </w:tc>
        <w:tc>
          <w:tcPr>
            <w:tcW w:type="dxa" w:w="2052"/>
          </w:tcPr>
          <w:p>
            <w:pPr>
              <w:pStyle w:val="null3"/>
            </w:pPr>
            <w:r>
              <w:rPr/>
              <w:t>肿瘤高发六癌基因甲基化检测</w:t>
            </w:r>
          </w:p>
        </w:tc>
        <w:tc>
          <w:tcPr>
            <w:tcW w:type="dxa" w:w="977"/>
          </w:tcPr>
          <w:p>
            <w:pPr>
              <w:pStyle w:val="null3"/>
            </w:pPr>
            <w:r>
              <w:rPr/>
              <w:t>1(年)</w:t>
            </w:r>
          </w:p>
        </w:tc>
        <w:tc>
          <w:tcPr>
            <w:tcW w:type="dxa" w:w="977"/>
          </w:tcPr>
          <w:p>
            <w:pPr>
              <w:pStyle w:val="null3"/>
            </w:pPr>
            <w:r>
              <w:rPr/>
              <w:t>详见第二章</w:t>
            </w:r>
          </w:p>
        </w:tc>
        <w:tc>
          <w:tcPr>
            <w:tcW w:type="dxa" w:w="977"/>
          </w:tcPr>
          <w:p>
            <w:pPr>
              <w:pStyle w:val="null3"/>
            </w:pPr>
            <w:r>
              <w:rPr/>
              <w:t>760,000.00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合同履行期限：自合同约定履行之日起1年，本项目当实际结算金额累计达到采购预算金额或合同履行期限结束时，则本项目服务终止。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w:t>
      </w:r>
    </w:p>
    <w:p>
      <w:pPr>
        <w:pStyle w:val="null3"/>
      </w:pPr>
      <w:r>
        <w:rPr/>
        <w:t>3）具有良好的商业信誉和健全的财务会计制度：提供书面声明（格式自定）或相关证明材料；</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采购包1（肿瘤高发六癌基因甲基化检测）：</w:t>
      </w:r>
      <w:r>
        <w:rPr/>
        <w:t>无，本采购包不属于专门面向中小企业采购的项目。本采购包的中小企业划分标准所属行业为：其他未列明行业。</w:t>
      </w:r>
    </w:p>
    <w:p>
      <w:pPr>
        <w:pStyle w:val="null3"/>
        <w:outlineLvl w:val="3"/>
      </w:pPr>
      <w:r>
        <w:rPr>
          <w:sz w:val="24"/>
          <w:b/>
        </w:rPr>
        <w:t>3.本项目特定的资格要求：</w:t>
      </w:r>
    </w:p>
    <w:p>
      <w:pPr>
        <w:pStyle w:val="null3"/>
      </w:pPr>
      <w:r>
        <w:rPr/>
        <w:t>采购包1（肿瘤高发六癌基因甲基化检测）：</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截止日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3)本采购包不接受联合体投标。提供书面声明（格式自定）。</w:t>
      </w:r>
    </w:p>
    <w:p>
      <w:pPr>
        <w:pStyle w:val="null3"/>
      </w:pPr>
      <w:r>
        <w:rPr/>
        <w:t>4)投标人须提供卫生行政部门颁发有效期内的《医疗机构执业许可证》证书，且能明确显示诊疗科目包含检验科，提供复印件并加盖公章。（如投标人所提供许可证名称与投标人名称不一致，需提供补充说明）。</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广州医科大学附属肿瘤医院</w:t>
      </w:r>
    </w:p>
    <w:p>
      <w:pPr>
        <w:pStyle w:val="null3"/>
        <w:ind w:firstLine="480"/>
      </w:pPr>
      <w:r>
        <w:rPr/>
        <w:t xml:space="preserve"> 地址：</w:t>
      </w:r>
      <w:r>
        <w:rPr/>
        <w:t>广州市越秀区横枝岗路78号</w:t>
      </w:r>
    </w:p>
    <w:p>
      <w:pPr>
        <w:pStyle w:val="null3"/>
        <w:ind w:firstLine="480"/>
      </w:pPr>
      <w:r>
        <w:rPr/>
        <w:t xml:space="preserve"> 联系方式：</w:t>
      </w:r>
      <w:r>
        <w:rPr/>
        <w:t>020-66673611</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ind w:firstLine="482"/>
        <w:jc w:val="both"/>
      </w:pPr>
      <w:r>
        <w:rPr>
          <w:sz w:val="24"/>
          <w:b/>
        </w:rPr>
        <w:t>（一）</w:t>
      </w:r>
      <w:r>
        <w:rPr>
          <w:sz w:val="24"/>
          <w:b/>
        </w:rPr>
        <w:t>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2.供应商必须对所投项目全部内容进行投标，不允许只对所投项目其中部分内容进行投标。如有缺漏的，将导致投标无效。</w:t>
      </w:r>
    </w:p>
    <w:p>
      <w:pPr>
        <w:pStyle w:val="null3"/>
        <w:ind w:firstLine="480"/>
        <w:jc w:val="both"/>
      </w:pPr>
      <w:r>
        <w:rPr>
          <w:sz w:val="24"/>
        </w:rPr>
        <w:t>3.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pPr>
      <w:r>
        <w:rPr/>
        <w:t>采购包1（肿瘤高发六癌基因甲基化检测）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自合同约定履行之日起1年，本项目当实际结算金额累计达到采购预算金额或合同履行期限结束时，则本项目服务终止。</w:t>
            </w:r>
          </w:p>
        </w:tc>
      </w:tr>
      <w:tr>
        <w:tc>
          <w:tcPr>
            <w:tcW w:type="dxa" w:w="4153"/>
          </w:tcPr>
          <w:p>
            <w:pPr>
              <w:pStyle w:val="null3"/>
            </w:pPr>
            <w:r>
              <w:rPr/>
              <w:t>标的提供的地点</w:t>
            </w:r>
          </w:p>
        </w:tc>
        <w:tc>
          <w:tcPr>
            <w:tcW w:type="dxa" w:w="4153"/>
          </w:tcPr>
          <w:p>
            <w:pPr>
              <w:pStyle w:val="null3"/>
            </w:pPr>
            <w:r>
              <w:rPr/>
              <w:t>按采购人指定地点。</w:t>
            </w:r>
          </w:p>
        </w:tc>
      </w:tr>
      <w:tr>
        <w:tc>
          <w:tcPr>
            <w:tcW w:type="dxa" w:w="4153"/>
          </w:tcPr>
          <w:p>
            <w:pPr>
              <w:pStyle w:val="null3"/>
            </w:pPr>
            <w:r>
              <w:rPr/>
              <w:t>付款方式</w:t>
            </w:r>
          </w:p>
        </w:tc>
        <w:tc>
          <w:tcPr>
            <w:tcW w:type="dxa" w:w="4153"/>
          </w:tcPr>
          <w:p>
            <w:pPr>
              <w:pStyle w:val="null3"/>
            </w:pPr>
            <w:r>
              <w:rPr/>
              <w:t>1期：支付比例100%,（1）按月按实际发生检验量结合折扣率进行结算，中标人于每月5日前将上月服务费用发票交给采购人，采购人每月15日前结算上月服务费。 （2）月服务费用=每月实际检测项目费用×中标折扣率-扣罚费用（如有）。 （3）中标人凭以下文件与采购人结算服务费：①合同复印件；②经双方确认的检测项目清单；③中标人开具的有效发票。</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1期：详见《广州医科大学附属肿瘤医院检验外送服务考核标准》</w:t>
            </w:r>
          </w:p>
        </w:tc>
      </w:tr>
      <w:tr>
        <w:tc>
          <w:tcPr>
            <w:tcW w:type="dxa" w:w="4153"/>
          </w:tcPr>
          <w:p>
            <w:pPr>
              <w:pStyle w:val="null3"/>
            </w:pPr>
            <w:r>
              <w:rPr/>
              <w:t>履约保证金</w:t>
            </w:r>
          </w:p>
        </w:tc>
        <w:tc>
          <w:tcPr>
            <w:tcW w:type="dxa" w:w="4153"/>
          </w:tcPr>
          <w:p>
            <w:pPr>
              <w:pStyle w:val="null3"/>
            </w:pPr>
            <w:r>
              <w:rPr/>
              <w:t>交纳比例：0.5%</w:t>
            </w:r>
          </w:p>
          <w:p>
            <w:pPr>
              <w:pStyle w:val="null3"/>
            </w:pPr>
            <w:r>
              <w:rPr/>
              <w:t>缴费渠道：</w:t>
            </w:r>
            <w:r>
              <w:rPr/>
              <w:t>电子保函（保险）</w:t>
            </w:r>
            <w:r>
              <w:rPr/>
              <w:t>、其他</w:t>
            </w:r>
          </w:p>
          <w:p>
            <w:pPr>
              <w:pStyle w:val="null3"/>
            </w:pPr>
            <w:r>
              <w:rPr/>
              <w:t>账号：44032701040006806</w:t>
            </w:r>
          </w:p>
          <w:p>
            <w:pPr>
              <w:pStyle w:val="null3"/>
            </w:pPr>
            <w:r>
              <w:rPr/>
              <w:t>户名：广州医科大学附属肿瘤医院</w:t>
            </w:r>
          </w:p>
          <w:p>
            <w:pPr>
              <w:pStyle w:val="null3"/>
            </w:pPr>
            <w:r>
              <w:rPr/>
              <w:t>开户行：中国农业银行广州恒福路支行</w:t>
            </w:r>
          </w:p>
          <w:p>
            <w:pPr>
              <w:pStyle w:val="null3"/>
            </w:pPr>
            <w:r>
              <w:rPr/>
              <w:t>说明：★履约保证金：①中标人在发出中标通知书之日起15个工作日内，应以保函格式或采购人可以接受的其它形式向采购人提交履约保证金（按合同价的0.5%）。如发生违约，采购人可从履约保证金中扣除，于合同期满或合同中止后结算。②在中标人履行完合同约定权利义务事项后，采购人将把履约保证金无息全额退还给中标人。③如履约保证金是以保函的形式提交，则保函有效期至少到项目验收合格后；如保函期限届满前30天内，项目还未完成，中标人应立即向保函出具单位申请延续保函期限，延续期限不少于6个月。</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其他商务要求，★一、报价要求： 1.1 本项目结算支付以人民币为货币单位。本项目采用折扣率报价（注：折扣率须精确到小数点后两位，参考格式：XX.XX%），投标人的折扣率报价必须为确定的固定唯一报价（如40.00%），不得填报多个报价值或区间值（如 35～40.00%）。对本项目肿瘤高发六癌基因甲基化检测的单价限价报出统一的折扣率。投标折扣率有效报价范围：0.00%＜投标折扣率≤100%，报价精确到小数点后两位。因落实政府采购政策进行价格调整的，以调整后的价格计算评标基准价和投标报价。 1.2 本项目的折扣率报价应包含送检项目的检验费用、检验标本接收保存运输费用、检验报告输出费用、耗材、取材工具、结果查询费用、人员费用、税费、资料费、含税发票、合同实施过程中的应预见和不可预见费用。 1.3 投标人必须对项目全部内容进行投标，不允许只对其中部分内容进行投标。 1.4 本项目按实结算，采购人对本项目累计支付金额不得高于本项目预算金额。 1.5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1.6在合同履行的过程中，如政府发布了新的医疗服务价格标准，则采购人和中标人以新标准（也由采购人最终确定）作为项目的收费单价实际执行标准并依次标准进行相应的计算后结算。 二、售后服务： 2.1投标人需提供服务电话、网络查询等多种渠道供业务咨询、报告查询、账单查询统计功能方案。设有售后服务专线电话，专门负责处理相关的日常咨询及售后服务工作制度。 2.2按照采购人实际工作需求，安排收取标本的工作方案。 2.3中标人按照承诺的检测报告时间及时提供检测结果，并能满足采购人急诊项目的优先检测（提供承诺函（格式自拟）并加盖投标人公章）。 三、其他要求： 3.1采购人对中标人提供的有关资料和数据，是采购人现有的能使中标人使用的资料，采购人对中标人由此而做出的推论、理解和结论概不负责。因法律、法规、标准和政策等相关规定动态变化，不能保证项目正式开始实施时与现有情况、要求完全一致，如有变动将以最终签约为准。如实际情况为非根本性的重大实质影响，采购人将不对此承担任何责任和费用。 3.2本项目执行过程中所有环节和内容将遵循国家、省、市有关法律、标准、技术规范和规范性文件的最新规定。 3.3项目执行过程中，如需采购人配合办理相关手续，或提供相关服务条件，均需在投标文件中详细说明，以便于采购人决定是否接受或提前准备，所涉及的费用均由中标人承担。 3.4投标人必须保证采购人在中华人民共和国境内使用响应货物、资料、技术、服务或其任何部分时，享有不受限制的无偿使用权，如有第三方向采购人提出侵犯其专利权、商标权或其它知识产权的主张，该责任应由投标人承担。 3.5投标报价应包含所有应向所有权人支付的专利权、商标权或其它知识产权的一切相关费用。系统软件、通用软件必须是具有在中国境内的合法使用权或版权的正版软件，涉及到第三方提出侵权或知识产权的起诉及支付版税等费用由投标人承担所有责任及费用。 3.6法律风险：涉及患者隐私保护和医疗纠纷等法待问题。为有效规避此类法律风验，需与外送机构签订保密协议，确保患者的个人医疗信息得到严格保密，防止任何形式的泄露。同时，双方应明确在医疗纠纷中的责任归属及相应的处理流程，以保障息者和科室的合法权益。 四、其他说明： 4.1 根据《广州市政府采购文件编制指导意见（2021年修订）》，第二中标候选人报价高于第一中标候选人报价20%以上的，只推荐1名中标候选人。 4.2 响应且遵守《信息保护及数据安全责任》、《廉洁协议》的各项条款。（具体见“第五章 合同文本”的附件及招标公告附件）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技术测试和分析服务</w:t>
            </w:r>
          </w:p>
        </w:tc>
        <w:tc>
          <w:tcPr>
            <w:tcW w:type="dxa" w:w="831"/>
          </w:tcPr>
          <w:p>
            <w:pPr>
              <w:pStyle w:val="null3"/>
              <w:jc w:val="left"/>
            </w:pPr>
            <w:r>
              <w:rPr/>
              <w:t>肿瘤高发六癌基因甲基化检测</w:t>
            </w:r>
          </w:p>
        </w:tc>
        <w:tc>
          <w:tcPr>
            <w:tcW w:type="dxa" w:w="831"/>
          </w:tcPr>
          <w:p>
            <w:pPr>
              <w:pStyle w:val="null3"/>
              <w:jc w:val="left"/>
            </w:pPr>
            <w:r>
              <w:rPr/>
              <w:t>年</w:t>
            </w:r>
          </w:p>
        </w:tc>
        <w:tc>
          <w:tcPr>
            <w:tcW w:type="dxa" w:w="831"/>
          </w:tcPr>
          <w:p>
            <w:pPr>
              <w:pStyle w:val="null3"/>
              <w:jc w:val="right"/>
            </w:pPr>
            <w:r>
              <w:rPr/>
              <w:t>1.00</w:t>
            </w:r>
          </w:p>
        </w:tc>
        <w:tc>
          <w:tcPr>
            <w:tcW w:type="dxa" w:w="831"/>
          </w:tcPr>
          <w:p>
            <w:pPr>
              <w:pStyle w:val="null3"/>
              <w:jc w:val="right"/>
            </w:pPr>
            <w:r>
              <w:rPr/>
              <w:t>760,000.00</w:t>
            </w:r>
          </w:p>
        </w:tc>
        <w:tc>
          <w:tcPr>
            <w:tcW w:type="dxa" w:w="831"/>
          </w:tcPr>
          <w:p>
            <w:pPr>
              <w:pStyle w:val="null3"/>
              <w:jc w:val="right"/>
            </w:pPr>
            <w:r>
              <w:rPr/>
              <w:t>760,000.00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肿瘤高发六癌基因甲基化检测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一、服务要求</w:t>
            </w:r>
          </w:p>
          <w:p>
            <w:pPr>
              <w:pStyle w:val="null3"/>
            </w:pPr>
            <w:r>
              <w:rPr>
                <w:sz w:val="21"/>
                <w:b/>
              </w:rPr>
              <w:t>1.项目人员及设施设备配置</w:t>
            </w:r>
            <w:r>
              <w:rPr>
                <w:sz w:val="21"/>
                <w:b/>
              </w:rPr>
              <w:t>：</w:t>
            </w:r>
          </w:p>
          <w:p>
            <w:pPr>
              <w:pStyle w:val="null3"/>
            </w:pPr>
            <w:r>
              <w:rPr>
                <w:sz w:val="21"/>
              </w:rPr>
              <w:t>★1.1具体检验外送服务项目清单</w:t>
            </w:r>
          </w:p>
          <w:tbl>
            <w:tblPr>
              <w:tblInd w:type="dxa" w:w="225"/>
              <w:tblBorders>
                <w:top w:val="none" w:color="000000" w:sz="4"/>
                <w:left w:val="none" w:color="000000" w:sz="4"/>
                <w:bottom w:val="none" w:color="000000" w:sz="4"/>
                <w:right w:val="none" w:color="000000" w:sz="4"/>
                <w:insideH w:val="none"/>
                <w:insideV w:val="none"/>
              </w:tblBorders>
            </w:tblPr>
            <w:tblGrid>
              <w:gridCol w:w="311"/>
              <w:gridCol w:w="1288"/>
              <w:gridCol w:w="888"/>
              <w:gridCol w:w="477"/>
              <w:gridCol w:w="766"/>
              <w:gridCol w:w="677"/>
              <w:gridCol w:w="1166"/>
            </w:tblGrid>
            <w:tr>
              <w:tc>
                <w:tcPr>
                  <w:tcW w:type="dxa" w:w="311"/>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序号</w:t>
                  </w:r>
                </w:p>
              </w:tc>
              <w:tc>
                <w:tcPr>
                  <w:tcW w:type="dxa" w:w="1288"/>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名称</w:t>
                  </w:r>
                </w:p>
              </w:tc>
              <w:tc>
                <w:tcPr>
                  <w:tcW w:type="dxa" w:w="888"/>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标准项目</w:t>
                  </w:r>
                </w:p>
                <w:p>
                  <w:pPr>
                    <w:pStyle w:val="null3"/>
                    <w:jc w:val="center"/>
                  </w:pPr>
                  <w:r>
                    <w:rPr>
                      <w:sz w:val="21"/>
                      <w:b/>
                    </w:rPr>
                    <w:t>单项名称</w:t>
                  </w:r>
                </w:p>
              </w:tc>
              <w:tc>
                <w:tcPr>
                  <w:tcW w:type="dxa" w:w="47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次数</w:t>
                  </w:r>
                </w:p>
              </w:tc>
              <w:tc>
                <w:tcPr>
                  <w:tcW w:type="dxa" w:w="766"/>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检验方法</w:t>
                  </w:r>
                </w:p>
              </w:tc>
              <w:tc>
                <w:tcPr>
                  <w:tcW w:type="dxa" w:w="67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年例数</w:t>
                  </w:r>
                </w:p>
              </w:tc>
              <w:tc>
                <w:tcPr>
                  <w:tcW w:type="dxa" w:w="1166"/>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单价</w:t>
                  </w:r>
                  <w:r>
                    <w:rPr>
                      <w:sz w:val="21"/>
                      <w:b/>
                    </w:rPr>
                    <w:t>限价</w:t>
                  </w:r>
                </w:p>
              </w:tc>
            </w:tr>
            <w:tr>
              <w:tc>
                <w:tcPr>
                  <w:tcW w:type="dxa" w:w="31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1</w:t>
                  </w:r>
                </w:p>
              </w:tc>
              <w:tc>
                <w:tcPr>
                  <w:tcW w:type="dxa" w:w="128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肿瘤高发六癌基因甲基化检测</w:t>
                  </w:r>
                </w:p>
              </w:tc>
              <w:tc>
                <w:tcPr>
                  <w:tcW w:type="dxa" w:w="88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甲基化检测</w:t>
                  </w:r>
                </w:p>
              </w:tc>
              <w:tc>
                <w:tcPr>
                  <w:tcW w:type="dxa" w:w="47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1</w:t>
                  </w:r>
                </w:p>
              </w:tc>
              <w:tc>
                <w:tcPr>
                  <w:tcW w:type="dxa" w:w="76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荧光</w:t>
                  </w:r>
                  <w:r>
                    <w:rPr>
                      <w:sz w:val="21"/>
                    </w:rPr>
                    <w:t>PCR</w:t>
                  </w:r>
                </w:p>
              </w:tc>
              <w:tc>
                <w:tcPr>
                  <w:tcW w:type="dxa" w:w="67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1800</w:t>
                  </w:r>
                </w:p>
              </w:tc>
              <w:tc>
                <w:tcPr>
                  <w:tcW w:type="dxa" w:w="116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550</w:t>
                  </w:r>
                  <w:r>
                    <w:rPr>
                      <w:sz w:val="21"/>
                    </w:rPr>
                    <w:t>元</w:t>
                  </w:r>
                  <w:r>
                    <w:rPr>
                      <w:sz w:val="21"/>
                    </w:rPr>
                    <w:t>/例</w:t>
                  </w:r>
                </w:p>
              </w:tc>
            </w:tr>
          </w:tbl>
          <w:p>
            <w:pPr>
              <w:pStyle w:val="null3"/>
            </w:pPr>
            <w:r>
              <w:rPr>
                <w:sz w:val="21"/>
              </w:rPr>
              <w:t>注：年例数仅预估，采购数量不作承诺。</w:t>
            </w:r>
          </w:p>
          <w:p>
            <w:pPr>
              <w:pStyle w:val="null3"/>
            </w:pPr>
            <w:r>
              <w:rPr>
                <w:sz w:val="21"/>
              </w:rPr>
              <w:t>1.2实验室负责人应当经过省级以上卫生行政部门组织的相关培训（提供相应有效的证明材料扫描件并加盖投标人公章）；</w:t>
            </w:r>
          </w:p>
          <w:p>
            <w:pPr>
              <w:pStyle w:val="null3"/>
            </w:pPr>
            <w:r>
              <w:rPr>
                <w:sz w:val="21"/>
              </w:rPr>
              <w:t>1.3投标人的实验室具有有效期内的中国合格评定国家认可委员会授权核发的实验室认可证书（认证标准为《医学实验室质量和能力认可准则》（CNAS-CL02）、《临床实验室定量测定室内质量控制指南》（WS/T 641-2018）、《临床实验室室间质量评价要求》（GB/T 20470-2006））。</w:t>
            </w:r>
          </w:p>
          <w:p>
            <w:pPr>
              <w:pStyle w:val="null3"/>
            </w:pPr>
            <w:r>
              <w:rPr>
                <w:sz w:val="21"/>
              </w:rPr>
              <w:t>1.4提供为本项目配备的人员名册以及其相应专业技术资格（注：必须包含项目配备的医师和技术人员资料，其他人员资料包括且不限于专业学历、专业技术职务及担任资格、与本项目相关的岗位培训），提供上述资料的有效证明材料扫描件并加盖投标人公章；</w:t>
            </w:r>
          </w:p>
          <w:p>
            <w:pPr>
              <w:pStyle w:val="null3"/>
            </w:pPr>
            <w:r>
              <w:rPr>
                <w:sz w:val="21"/>
              </w:rPr>
              <w:t>▲1.5本项目使用的检测用设备具有有效的医疗器械注册证，试剂应提供性能验证数据（提供证明材料并加盖投标人公章）；</w:t>
            </w:r>
          </w:p>
          <w:p>
            <w:pPr>
              <w:pStyle w:val="null3"/>
            </w:pPr>
            <w:r>
              <w:rPr>
                <w:sz w:val="21"/>
                <w:b/>
              </w:rPr>
              <w:t>2.项目实施方案：</w:t>
            </w:r>
          </w:p>
          <w:p>
            <w:pPr>
              <w:pStyle w:val="null3"/>
            </w:pPr>
            <w:r>
              <w:rPr>
                <w:sz w:val="21"/>
              </w:rPr>
              <w:t>▲2.1项目实施方案：提供分析前质量保证措施，包括且不限于标本准备、采集、标本储存、标本交接和标本接收等闭环标准操作规程（SOP）；应急保障措施(SOP)等。</w:t>
            </w:r>
          </w:p>
          <w:p>
            <w:pPr>
              <w:pStyle w:val="null3"/>
            </w:pPr>
            <w:r>
              <w:rPr>
                <w:sz w:val="21"/>
              </w:rPr>
              <w:t>2.2投标人具备货物运输条件鉴定证明。注：提供物流公司如CNAS货物运输鉴定书资质等材料、物流质量保障方案；须提供相关有效的证明文件复印件并加盖投标人公章。</w:t>
            </w:r>
          </w:p>
          <w:p>
            <w:pPr>
              <w:pStyle w:val="null3"/>
            </w:pPr>
            <w:r>
              <w:rPr>
                <w:sz w:val="21"/>
              </w:rPr>
              <w:t>2.3数据对接方案：提供的检测数据查询、传输方案（如为电子系统对接，须提供电子系统名称、系统接口要求、数据储存及后续数据处理等情况）</w:t>
            </w:r>
          </w:p>
          <w:p>
            <w:pPr>
              <w:pStyle w:val="null3"/>
            </w:pPr>
            <w:r>
              <w:rPr>
                <w:sz w:val="21"/>
                <w:b/>
              </w:rPr>
              <w:t>3.质控方案：</w:t>
            </w:r>
          </w:p>
          <w:p>
            <w:pPr>
              <w:pStyle w:val="null3"/>
            </w:pPr>
            <w:r>
              <w:rPr>
                <w:sz w:val="21"/>
              </w:rPr>
              <w:t>3.1针对本项目的质量保障措施：包括但不限于服务质量承诺、样本安全性保障、错误率控制、质控评价方案、室间质控、责任承担等方面。对质量承诺、样本安全性保障方案、质量评价、错误率控制和责任承担作出清晰、合理和完善的描述；</w:t>
            </w:r>
          </w:p>
          <w:p>
            <w:pPr>
              <w:pStyle w:val="null3"/>
            </w:pPr>
            <w:r>
              <w:rPr>
                <w:sz w:val="21"/>
              </w:rPr>
              <w:t>3.2提供与本项目相关的质量管理记录范例，包括且不限于：标本接收、标本储存、标本运输交接处理、仪器和试剂及耗材使用情况、校准、室间质控、室间质评等内容。</w:t>
            </w:r>
          </w:p>
          <w:p>
            <w:pPr>
              <w:pStyle w:val="null3"/>
            </w:pPr>
            <w:r>
              <w:rPr>
                <w:sz w:val="21"/>
              </w:rPr>
              <w:t>3.3质量培训方案：提供针对本项目开展院内检测能力、培养医院检测人才的培训方案，应包括但不限于培训承诺、培训计划、培训目标、培训措施等，投标人提供《采样手册》《生物安全手册》《样本入库管理规程》《样本返样及销毁管理规程》等。</w:t>
            </w:r>
          </w:p>
          <w:p>
            <w:pPr>
              <w:pStyle w:val="null3"/>
            </w:pPr>
            <w:r>
              <w:rPr>
                <w:sz w:val="21"/>
              </w:rPr>
              <w:t>3.4提供真实有效的检测报告；报告符合《医疗机构临床实验室管理办法》的要求；报告须真实真实有效；检测标本、出具报告与申请号一一对应；检测报告变异注释和临床意义解释内容需定期更新；</w:t>
            </w:r>
          </w:p>
          <w:p>
            <w:pPr>
              <w:pStyle w:val="null3"/>
            </w:pPr>
            <w:r>
              <w:rPr>
                <w:sz w:val="21"/>
              </w:rPr>
              <w:t>3.5保证按国家检验规范进行操作，并对标本的检验报告承担相应的责任。</w:t>
            </w:r>
          </w:p>
          <w:p>
            <w:pPr>
              <w:pStyle w:val="null3"/>
            </w:pPr>
            <w:r>
              <w:rPr>
                <w:sz w:val="21"/>
              </w:rPr>
              <w:t>3.6有为</w:t>
            </w:r>
            <w:r>
              <w:rPr>
                <w:sz w:val="21"/>
              </w:rPr>
              <w:t>采购人</w:t>
            </w:r>
            <w:r>
              <w:rPr>
                <w:sz w:val="21"/>
              </w:rPr>
              <w:t>保密的义务，未经同意不得泄露委托检验的项目、检验的内容、检验的结果。</w:t>
            </w:r>
          </w:p>
          <w:p>
            <w:pPr>
              <w:pStyle w:val="null3"/>
            </w:pPr>
            <w:r>
              <w:rPr>
                <w:sz w:val="21"/>
              </w:rPr>
              <w:t>3.7检测样本、检测数据的所有权、使用权为</w:t>
            </w:r>
            <w:r>
              <w:rPr>
                <w:sz w:val="21"/>
              </w:rPr>
              <w:t>采购人</w:t>
            </w:r>
            <w:r>
              <w:rPr>
                <w:sz w:val="21"/>
              </w:rPr>
              <w:t>所有，未经许可不得挪作它用。</w:t>
            </w:r>
          </w:p>
          <w:p>
            <w:pPr>
              <w:pStyle w:val="null3"/>
            </w:pPr>
            <w:r>
              <w:rPr>
                <w:sz w:val="21"/>
              </w:rPr>
              <w:t>3.8能够按</w:t>
            </w:r>
            <w:r>
              <w:rPr>
                <w:sz w:val="21"/>
              </w:rPr>
              <w:t>采购人</w:t>
            </w:r>
            <w:r>
              <w:rPr>
                <w:sz w:val="21"/>
              </w:rPr>
              <w:t>要求妥善保存及销毁检验后样本。</w:t>
            </w:r>
          </w:p>
          <w:p>
            <w:pPr>
              <w:pStyle w:val="null3"/>
            </w:pPr>
            <w:r>
              <w:rPr>
                <w:sz w:val="21"/>
              </w:rPr>
              <w:t>3.9保证检验结果的公正性，不受任何诱使或压力的干扰。</w:t>
            </w:r>
          </w:p>
          <w:p>
            <w:pPr>
              <w:pStyle w:val="null3"/>
            </w:pPr>
            <w:r>
              <w:rPr>
                <w:sz w:val="21"/>
              </w:rPr>
              <w:t>3.10标本在送检运输过程中出现延迟、遗漏、丢失等情况，投标人应有完善的应急处理方案予以妥善解决，否则投标人应承担相应责任。</w:t>
            </w:r>
          </w:p>
          <w:p>
            <w:pPr>
              <w:pStyle w:val="null3"/>
              <w:jc w:val="both"/>
            </w:pPr>
            <w:r>
              <w:rPr>
                <w:sz w:val="21"/>
              </w:rPr>
              <w:t>▲</w:t>
            </w:r>
            <w:r>
              <w:rPr>
                <w:sz w:val="21"/>
              </w:rPr>
              <w:t>4.中标人出具的报告必须符合《医疗机构临床实验室管理办法》的基本规定。</w:t>
            </w:r>
          </w:p>
          <w:p>
            <w:pPr>
              <w:pStyle w:val="null3"/>
              <w:jc w:val="both"/>
            </w:pPr>
            <w:r>
              <w:rPr>
                <w:sz w:val="21"/>
              </w:rPr>
              <w:t>★</w:t>
            </w:r>
            <w:r>
              <w:rPr>
                <w:sz w:val="21"/>
                <w:b/>
              </w:rPr>
              <w:t>二、</w:t>
            </w:r>
            <w:r>
              <w:rPr>
                <w:sz w:val="21"/>
                <w:b/>
              </w:rPr>
              <w:t>考核要求</w:t>
            </w:r>
          </w:p>
          <w:p>
            <w:pPr>
              <w:pStyle w:val="null3"/>
              <w:jc w:val="center"/>
            </w:pPr>
            <w:r>
              <w:rPr>
                <w:sz w:val="21"/>
                <w:b/>
              </w:rPr>
              <w:t>《广州医科大学附属肿瘤医院检验外送服务考核标准》</w:t>
            </w:r>
          </w:p>
          <w:p>
            <w:pPr>
              <w:pStyle w:val="null3"/>
              <w:jc w:val="center"/>
            </w:pPr>
            <w:r>
              <w:rPr>
                <w:sz w:val="21"/>
              </w:rPr>
              <w:t>1、每一个月为一个考核周期，采购人每月不定期组织相关人员对中标人的服务进行考核。考评内容详见《月度考核表》。</w:t>
            </w:r>
          </w:p>
          <w:p>
            <w:pPr>
              <w:pStyle w:val="null3"/>
              <w:jc w:val="both"/>
            </w:pPr>
            <w:r>
              <w:rPr>
                <w:sz w:val="21"/>
              </w:rPr>
              <w:t>2、采购人将根据每月的考核情况支付检测服务费。考核满分为100分，月考核得分在90分（含）以上的为合格，全额支付当月的服务费；考核得分在70分（含）以上且90分（不含）以下的，以90分为基准分，每低于基准分1分，扣减该月度服务分的100元/分：考核得分低70分（不含）的，采购人有权不支付当月服务费，中标人须根据扣分项目做出整改。服务内累计两次考核分低于70分（不含），采购人有权解除合同。</w:t>
            </w:r>
          </w:p>
          <w:p>
            <w:pPr>
              <w:pStyle w:val="null3"/>
              <w:jc w:val="both"/>
            </w:pPr>
            <w:r>
              <w:rPr>
                <w:sz w:val="21"/>
              </w:rPr>
              <w:t>3、部分考核项目如不符合要求除扣分外，还需在月度服务费中额外扣减相应金额。</w:t>
            </w:r>
          </w:p>
          <w:p>
            <w:pPr>
              <w:pStyle w:val="null3"/>
              <w:jc w:val="both"/>
            </w:pPr>
            <w:r>
              <w:rPr>
                <w:sz w:val="21"/>
              </w:rPr>
              <w:t>4、考核细则</w:t>
            </w:r>
          </w:p>
          <w:p>
            <w:pPr>
              <w:pStyle w:val="null3"/>
              <w:jc w:val="center"/>
            </w:pPr>
            <w:r>
              <w:rPr>
                <w:sz w:val="21"/>
                <w:b/>
              </w:rPr>
              <w:t>月度考核表</w:t>
            </w:r>
          </w:p>
          <w:tbl>
            <w:tblPr>
              <w:tblInd w:type="dxa" w:w="465"/>
              <w:tblBorders>
                <w:top w:val="none" w:color="000000" w:sz="4"/>
                <w:left w:val="none" w:color="000000" w:sz="4"/>
                <w:bottom w:val="none" w:color="000000" w:sz="4"/>
                <w:right w:val="none" w:color="000000" w:sz="4"/>
                <w:insideH w:val="none"/>
                <w:insideV w:val="none"/>
              </w:tblBorders>
            </w:tblPr>
            <w:tblGrid>
              <w:gridCol w:w="808"/>
              <w:gridCol w:w="557"/>
              <w:gridCol w:w="2145"/>
              <w:gridCol w:w="1458"/>
              <w:gridCol w:w="631"/>
            </w:tblGrid>
            <w:tr>
              <w:tc>
                <w:tcPr>
                  <w:tcW w:type="dxa" w:w="80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考核模块</w:t>
                  </w:r>
                </w:p>
              </w:tc>
              <w:tc>
                <w:tcPr>
                  <w:tcW w:type="dxa" w:w="55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序号</w:t>
                  </w:r>
                </w:p>
              </w:tc>
              <w:tc>
                <w:tcPr>
                  <w:tcW w:type="dxa" w:w="214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考核内容</w:t>
                  </w:r>
                </w:p>
              </w:tc>
              <w:tc>
                <w:tcPr>
                  <w:tcW w:type="dxa" w:w="145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考核标准</w:t>
                  </w:r>
                </w:p>
              </w:tc>
              <w:tc>
                <w:tcPr>
                  <w:tcW w:type="dxa" w:w="63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得分值</w:t>
                  </w:r>
                </w:p>
              </w:tc>
            </w:tr>
            <w:tr>
              <w:tc>
                <w:tcPr>
                  <w:tcW w:type="dxa" w:w="808"/>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标本采集与运送</w:t>
                  </w:r>
                </w:p>
                <w:p>
                  <w:pPr>
                    <w:pStyle w:val="null3"/>
                    <w:jc w:val="center"/>
                  </w:pPr>
                  <w:r>
                    <w:rPr>
                      <w:sz w:val="21"/>
                    </w:rPr>
                    <w:t>（</w:t>
                  </w:r>
                  <w:r>
                    <w:rPr>
                      <w:sz w:val="21"/>
                    </w:rPr>
                    <w:t>12分）</w:t>
                  </w: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有标本全流程交接和跟踪管理记录（</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2</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标本接收及送检及时，无遗漏，无丢失（</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3</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按规范流程进行标本接收，登记和包装（</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4</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按照约定时间和频率到院采集标本（</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无故缺收</w:t>
                  </w:r>
                  <w:r>
                    <w:rPr>
                      <w:sz w:val="21"/>
                    </w:rPr>
                    <w:t>1次的，每次扣3分。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结果反馈及解读</w:t>
                  </w:r>
                </w:p>
                <w:p>
                  <w:pPr>
                    <w:pStyle w:val="null3"/>
                    <w:jc w:val="center"/>
                  </w:pPr>
                  <w:r>
                    <w:rPr>
                      <w:sz w:val="21"/>
                    </w:rPr>
                    <w:t>（</w:t>
                  </w:r>
                  <w:r>
                    <w:rPr>
                      <w:sz w:val="21"/>
                    </w:rPr>
                    <w:t>35分）</w:t>
                  </w: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5</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初检发现因取样原因不合格的标本及时通知医院（</w:t>
                  </w:r>
                  <w:r>
                    <w:rPr>
                      <w:sz w:val="21"/>
                    </w:rPr>
                    <w:t>5分）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5分。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6</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检测结果在约定时限内出具报告（</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7</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检测结果及时上传医院电子系统（</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8</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检验结果可网上或电子化查询，客服电话支持的服务畅通（</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不符合要求，每次扣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9</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有外送项目危急值清单、危急值报告流程及记录（</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不符合要求的，每项扣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10</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发现危急值在验单审核</w:t>
                  </w:r>
                  <w:r>
                    <w:rPr>
                      <w:sz w:val="21"/>
                    </w:rPr>
                    <w:t>15分钟内通过电话通知采购人（15分）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15分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11</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有危急值流程及报告记录（</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不符合要求的，每项扣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质量控制及质量保障管理</w:t>
                  </w:r>
                </w:p>
                <w:p>
                  <w:pPr>
                    <w:pStyle w:val="null3"/>
                    <w:jc w:val="center"/>
                  </w:pPr>
                  <w:r>
                    <w:rPr>
                      <w:sz w:val="21"/>
                    </w:rPr>
                    <w:t>（</w:t>
                  </w:r>
                  <w:r>
                    <w:rPr>
                      <w:sz w:val="21"/>
                    </w:rPr>
                    <w:t>53分）</w:t>
                  </w: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12</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检验报告单由具备相应资质的检验人员签发，由有资质的医师复核（</w:t>
                  </w:r>
                  <w:r>
                    <w:rPr>
                      <w:sz w:val="21"/>
                    </w:rPr>
                    <w:t>15分）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15分。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13</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所有检测项目卫生部室间质评参加率和合格率均为</w:t>
                  </w:r>
                  <w:r>
                    <w:rPr>
                      <w:sz w:val="21"/>
                    </w:rPr>
                    <w:t>100% （15分）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15分。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14</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无室内质评的项目有三甲医院比对合格结果（</w:t>
                  </w:r>
                  <w:r>
                    <w:rPr>
                      <w:sz w:val="21"/>
                    </w:rPr>
                    <w:t>5分）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不符合要求的，每项扣</w:t>
                  </w:r>
                  <w:r>
                    <w:rPr>
                      <w:sz w:val="21"/>
                    </w:rPr>
                    <w:t>5分。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15</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所有检测项目室内质控记录完整，具备失控分析报告（</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不符合要求的，每项扣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16</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未发生因中标人原因导致的医疗投诉或医疗纠纷</w:t>
                  </w:r>
                  <w:r>
                    <w:rPr>
                      <w:sz w:val="21"/>
                    </w:rPr>
                    <w:t>（</w:t>
                  </w:r>
                  <w:r>
                    <w:rPr>
                      <w:sz w:val="21"/>
                    </w:rPr>
                    <w:t>15分）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w:t>
                  </w:r>
                </w:p>
                <w:p>
                  <w:pPr>
                    <w:pStyle w:val="null3"/>
                    <w:jc w:val="center"/>
                  </w:pPr>
                  <w:r>
                    <w:rPr>
                      <w:sz w:val="21"/>
                    </w:rPr>
                    <w:t>1.</w:t>
                  </w:r>
                  <w:r>
                    <w:rPr>
                      <w:sz w:val="21"/>
                    </w:rPr>
                    <w:t>每次扣</w:t>
                  </w:r>
                  <w:r>
                    <w:rPr>
                      <w:sz w:val="21"/>
                    </w:rPr>
                    <w:t>15分。</w:t>
                  </w:r>
                </w:p>
                <w:p>
                  <w:pPr>
                    <w:pStyle w:val="null3"/>
                    <w:jc w:val="center"/>
                  </w:pPr>
                  <w:r>
                    <w:rPr>
                      <w:sz w:val="21"/>
                    </w:rPr>
                    <w:t>2.</w:t>
                  </w:r>
                  <w:r>
                    <w:rPr>
                      <w:sz w:val="21"/>
                    </w:rPr>
                    <w:t>按对应检验项目费用的</w:t>
                  </w:r>
                  <w:r>
                    <w:rPr>
                      <w:sz w:val="21"/>
                    </w:rPr>
                    <w:t>2倍进行扣减费用；</w:t>
                  </w:r>
                </w:p>
                <w:p>
                  <w:pPr>
                    <w:pStyle w:val="null3"/>
                    <w:jc w:val="center"/>
                  </w:pPr>
                  <w:r>
                    <w:rPr>
                      <w:sz w:val="21"/>
                    </w:rPr>
                    <w:t>3.</w:t>
                  </w:r>
                  <w:r>
                    <w:rPr>
                      <w:sz w:val="21"/>
                    </w:rPr>
                    <w:t>承担相关的经济费用</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3510"/>
                  <w:gridSpan w:val="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满分：</w:t>
                  </w:r>
                  <w:r>
                    <w:rPr>
                      <w:sz w:val="21"/>
                    </w:rPr>
                    <w:t>100分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实际得分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pPr>
              <w:pStyle w:val="null3"/>
              <w:jc w:val="both"/>
            </w:pPr>
            <w:r>
              <w:rPr>
                <w:sz w:val="21"/>
              </w:rPr>
              <w:t>5、中标人出现以下情形之一的，采购人有权无条件解除或解除服务合同，由此产生的经济损失和法律责任由中标人承担：</w:t>
            </w:r>
          </w:p>
          <w:p>
            <w:pPr>
              <w:pStyle w:val="null3"/>
              <w:jc w:val="both"/>
            </w:pPr>
            <w:r>
              <w:rPr>
                <w:sz w:val="21"/>
              </w:rPr>
              <w:t>（</w:t>
            </w:r>
            <w:r>
              <w:rPr>
                <w:sz w:val="21"/>
              </w:rPr>
              <w:t>1)服务期内2次考评不合格的；</w:t>
            </w:r>
          </w:p>
          <w:p>
            <w:pPr>
              <w:pStyle w:val="null3"/>
              <w:jc w:val="both"/>
            </w:pPr>
            <w:r>
              <w:rPr>
                <w:sz w:val="21"/>
              </w:rPr>
              <w:t>（</w:t>
            </w:r>
            <w:r>
              <w:rPr>
                <w:sz w:val="21"/>
              </w:rPr>
              <w:t>2)一年内出现2次标本遗漏，丢失等情况；</w:t>
            </w:r>
          </w:p>
          <w:p>
            <w:pPr>
              <w:pStyle w:val="null3"/>
              <w:jc w:val="both"/>
            </w:pPr>
            <w:r>
              <w:rPr>
                <w:sz w:val="21"/>
              </w:rPr>
              <w:t>（</w:t>
            </w:r>
            <w:r>
              <w:rPr>
                <w:sz w:val="21"/>
              </w:rPr>
              <w:t>3)一年内出现2次检验结果严重误差，错误而导致采购人医疗纠纷或医疗事故等不良后果；</w:t>
            </w:r>
          </w:p>
          <w:p>
            <w:pPr>
              <w:pStyle w:val="null3"/>
              <w:jc w:val="both"/>
            </w:pPr>
            <w:r>
              <w:rPr>
                <w:sz w:val="21"/>
              </w:rPr>
              <w:t>（</w:t>
            </w:r>
            <w:r>
              <w:rPr>
                <w:sz w:val="21"/>
              </w:rPr>
              <w:t>4)擅自变动人员，导致人员配置不符合招标文件要求；</w:t>
            </w:r>
          </w:p>
          <w:p>
            <w:pPr>
              <w:pStyle w:val="null3"/>
              <w:jc w:val="both"/>
            </w:pPr>
            <w:r>
              <w:rPr>
                <w:sz w:val="21"/>
              </w:rPr>
              <w:t>（</w:t>
            </w:r>
            <w:r>
              <w:rPr>
                <w:sz w:val="21"/>
              </w:rPr>
              <w:t>5)中标人未经知照采购人，擅自更改流程且不合符招标文件要求的：</w:t>
            </w:r>
          </w:p>
          <w:p>
            <w:pPr>
              <w:pStyle w:val="null3"/>
              <w:jc w:val="both"/>
            </w:pPr>
            <w:r>
              <w:rPr>
                <w:sz w:val="21"/>
              </w:rPr>
              <w:t>（</w:t>
            </w:r>
            <w:r>
              <w:rPr>
                <w:sz w:val="21"/>
              </w:rPr>
              <w:t>6)因中标人原因导致的医疗事故。</w:t>
            </w:r>
          </w:p>
          <w:p>
            <w:pPr>
              <w:pStyle w:val="null3"/>
              <w:jc w:val="both"/>
            </w:pPr>
            <w:r>
              <w:rPr>
                <w:sz w:val="21"/>
              </w:rPr>
              <w:t>（</w:t>
            </w:r>
            <w:r>
              <w:rPr>
                <w:sz w:val="21"/>
              </w:rPr>
              <w:t>7)中标人有为采购人保密的义务，在未经采购人同意或授权前提下，中标人不得向采购人及其工作人员以外的任何单位或个人泄露采购人委托检验的项目、检验的内容、检验的结果，但受检者及其授权代理人查询、咨询其检验项目事宜的除外。</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广州医科大学附属肿瘤医院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由中标（成交）供应商代支付采购代理服务费，此费用包含在其投标总报价中。采购代理服务费的收费标准参考《招标代理服务收费管理暂行办法》（计价格〔2002〕1980号）、2003（857）号文、《国家发展改革委关于降低部分建设项目收费标准规范收费行为等有关问题的通知》（发改价格〔2011〕534号）及《广州市招标代理服务费计费规划》（穗招代理协〔2017〕3号）文件规定的标准下浮 22% 收取。（供应商的报价应包含代理服务费，但不单列） 中标人应缴纳招标代理服务费：人民币8,892.00元。 应以银行转账方式向采购代理机构直接缴纳招标代理服务费，付至采购代理机构发出的《领取《中标通知书》通知》的账号。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其他，1.资金来源：财政性资金医院资金，本项目属于政府采购项目。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肿瘤高发六癌基因甲基化检测)：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采购包1（肿瘤高发六癌基因甲基化检测）：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采购包1（肿瘤高发六癌基因甲基化检测）：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截止日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本采购包不接受联合体投标。提供书面声明（格式自定）。</w:t>
            </w:r>
          </w:p>
        </w:tc>
      </w:tr>
      <w:tr>
        <w:tc>
          <w:tcPr>
            <w:tcW w:type="dxa" w:w="890"/>
          </w:tcPr>
          <w:p>
            <w:pPr>
              <w:pStyle w:val="null3"/>
            </w:pPr>
            <w:r>
              <w:rPr/>
              <w:t>9</w:t>
            </w:r>
          </w:p>
        </w:tc>
        <w:tc>
          <w:tcPr>
            <w:tcW w:type="dxa" w:w="3178"/>
          </w:tcPr>
          <w:p>
            <w:pPr>
              <w:pStyle w:val="null3"/>
            </w:pPr>
            <w:r>
              <w:rPr/>
              <w:t>其他特定资格要求</w:t>
            </w:r>
          </w:p>
        </w:tc>
        <w:tc>
          <w:tcPr>
            <w:tcW w:type="dxa" w:w="4238"/>
          </w:tcPr>
          <w:p>
            <w:pPr>
              <w:pStyle w:val="null3"/>
            </w:pPr>
            <w:r>
              <w:rPr/>
              <w:t>投标人须提供卫生行政部门颁发有效期内的《医疗机构执业许可证》证书，且能明确显示诊疗科目包含检验科，提供复印件并加盖公章。（如投标人所提供许可证名称与投标人名称不一致，需提供补充说明）。</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无，本采购包不属于专门面向中小企业采购的项目。本采购包的中小企业划分标准所属行业为：其他未列明行业。</w:t>
            </w:r>
          </w:p>
        </w:tc>
      </w:tr>
    </w:tbl>
    <w:p>
      <w:pPr>
        <w:pStyle w:val="null3"/>
        <w:ind w:firstLine="480"/>
      </w:pPr>
      <w:r>
        <w:rPr/>
        <w:t>表二符合性审查表：</w:t>
      </w:r>
    </w:p>
    <w:p>
      <w:pPr>
        <w:pStyle w:val="null3"/>
      </w:pPr>
      <w:r>
        <w:rPr/>
        <w:t>采购包1（肿瘤高发六癌基因甲基化检测）：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采购包1(肿瘤高发六癌基因甲基化检测):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综合信用分5.0分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(20.0分)</w:t>
            </w:r>
          </w:p>
        </w:tc>
        <w:tc>
          <w:tcPr>
            <w:tcW w:type="dxa" w:w="5076"/>
          </w:tcPr>
          <w:p>
            <w:pPr>
              <w:pStyle w:val="null3"/>
              <w:jc w:val="left"/>
            </w:pPr>
            <w:r>
              <w:rPr/>
              <w:t>根据投标人对招标文件《第二章采购需求》中“附表一：肿瘤高发六癌基因甲基化检测”的“一、服务要求”的对应响应情况进行综合评审： 1.对“▲”号技术参数（共3项）的响应进行评审，每满足一个“▲”号，得4分,满分12分。 2.对非带“▲”、“★”号技术参数（共15项）的技术要求进行逐一响应，本小项共8分： （1）全部满足或优于，得8分； （2）1项≤不响应或负偏离的数量＜5项的，得5分； （3）5项≤不响应或负偏离的数量＜10项的，得2分； （4）不响应或负偏离的数量≥10项的，不得分。 【注：以需求明细要求序号最细的（如1.与1.1之间，1.1为最细序号）或按语义最细的作为一项，以计算技术要求响应数量。】</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根据投标人提供的项目实施方案（包括：（1）标本准备；（2）采集；（3)标本储存；（4）标本交接；（5）标本接收等闭环标准操作规程（SOP）；（6）应急保障措施(SOP)等）进行综合评审： 1.项目实施方案包含以上6点，方案详细具体，工作交接明确，操作规程合理规范，得10分； 2.项目实施方案包含以上6点，方案基本完善，工作交接基本明确，操作规程基本合理规范，得7分； 3.项目实施方案包含以上6点，方案完善程度一般，工作交接简单，操作规程规范性一般，得4分； 4.提供的项目实施方案未全部涵盖以上6点的，得1分； 5.无提供项目实施方案，得0分。</w:t>
            </w:r>
          </w:p>
        </w:tc>
      </w:tr>
      <w:tr>
        <w:tc>
          <w:tcPr>
            <w:tcW w:type="dxa" w:w="922"/>
            <w:gridSpan w:val="2"/>
            <w:vMerge/>
          </w:tcPr>
          <w:p/>
        </w:tc>
        <w:tc>
          <w:tcPr>
            <w:tcW w:type="dxa" w:w="2307"/>
          </w:tcPr>
          <w:p>
            <w:pPr>
              <w:pStyle w:val="null3"/>
              <w:jc w:val="left"/>
            </w:pPr>
            <w:r>
              <w:rPr/>
              <w:t>针对本项目的质量保障措施 (8.0分)</w:t>
            </w:r>
          </w:p>
        </w:tc>
        <w:tc>
          <w:tcPr>
            <w:tcW w:type="dxa" w:w="5076"/>
          </w:tcPr>
          <w:p>
            <w:pPr>
              <w:pStyle w:val="null3"/>
              <w:jc w:val="left"/>
            </w:pPr>
            <w:r>
              <w:rPr/>
              <w:t>根据投标人提供的针对本项目的质量保障措施方案（包括：（1）服务质量承诺；（2）样本安全性保障；（3）错误率控制；（4）质控评价；（5）责任承担等）方面进行综合评审： 1.质量保障措施方案包含以上5点，对质量承诺、样本安全性保障方案、质量评价、错误率控制和责任承担等方面表 述合理、完善，得8分； 2.质量保障措施方案包含以上5点，对质量承诺、样本安全性保障方案、质量评价、错误率控制和责任承担等方面表述基本合理、完善，得5分； 3.质量保障措施方案包含以上5点，对质量承诺、样本安全性保障方案、质量评价、错误率控制和责任承担等方面表述简单，得3分； 4.提供的针对本项目的质量保障措施方案未全部涵盖以上5点，得1分； 5.无提供针对本项目的质量保障措施方案，得0分。</w:t>
            </w:r>
          </w:p>
        </w:tc>
      </w:tr>
      <w:tr>
        <w:tc>
          <w:tcPr>
            <w:tcW w:type="dxa" w:w="922"/>
            <w:gridSpan w:val="2"/>
            <w:vMerge/>
          </w:tcPr>
          <w:p/>
        </w:tc>
        <w:tc>
          <w:tcPr>
            <w:tcW w:type="dxa" w:w="2307"/>
          </w:tcPr>
          <w:p>
            <w:pPr>
              <w:pStyle w:val="null3"/>
              <w:jc w:val="left"/>
            </w:pPr>
            <w:r>
              <w:rPr/>
              <w:t>培训方案 (8.0分)</w:t>
            </w:r>
          </w:p>
        </w:tc>
        <w:tc>
          <w:tcPr>
            <w:tcW w:type="dxa" w:w="5076"/>
          </w:tcPr>
          <w:p>
            <w:pPr>
              <w:pStyle w:val="null3"/>
              <w:jc w:val="left"/>
            </w:pPr>
            <w:r>
              <w:rPr/>
              <w:t>根据投标人提供的培训方案（包括：（1）培训承诺；（2）培训计划；（3)培训目标；（4）培训措施；（5）投标人须提供《采样手册》《生物安全手册》《样本入库管理规程》《样本返样及销毁管理规程》等）进行综合评审： 1.培训方案包含以上5点，培训方案完整、详细，能有效提高服务人员的专业性，提供的规程和手册科学合理，得8分； 2.培训方案包含以上5点,培训方案基本完整，能提高服务人员的专业性，提供的规程和手册基本科学合理，得5分； 3.培训方案包含以上5点，培训方案一般，难以提高服务人员的专业性，提供的规程和手册简单，得3分； 4.提供的培训方案未全部涵盖以上5点，得1分； 5.无提供培训方案，得0分。</w:t>
            </w:r>
          </w:p>
        </w:tc>
      </w:tr>
      <w:tr>
        <w:tc>
          <w:tcPr>
            <w:tcW w:type="dxa" w:w="922"/>
            <w:gridSpan w:val="2"/>
            <w:vMerge/>
          </w:tcPr>
          <w:p/>
        </w:tc>
        <w:tc>
          <w:tcPr>
            <w:tcW w:type="dxa" w:w="2307"/>
          </w:tcPr>
          <w:p>
            <w:pPr>
              <w:pStyle w:val="null3"/>
              <w:jc w:val="left"/>
            </w:pPr>
            <w:r>
              <w:rPr/>
              <w:t>样本运输服务方案 (7.0分)</w:t>
            </w:r>
          </w:p>
        </w:tc>
        <w:tc>
          <w:tcPr>
            <w:tcW w:type="dxa" w:w="5076"/>
          </w:tcPr>
          <w:p>
            <w:pPr>
              <w:pStyle w:val="null3"/>
              <w:jc w:val="left"/>
            </w:pPr>
            <w:r>
              <w:rPr/>
              <w:t>根据投标人针对本项目提供的样本运输服务方案（包括：（1）标本定位追踪；（2）物流质量保障；（3）运输期间的温度控制措施；（4）应急配送预案）进行综合评审： 1.样本运输服务方案包含以上4点，方案具体详细，样本定位追踪及物流质量保障科学合理，运输温控措施、应急配送预案完善, 得7分； 2.样本运输服务方案包含以上4点，方案基本完善，样本定位追踪及物流质量保障基本合理，运输温控措施、应急配送预案基本完善，得4分； 3.样本运输服务方案包含以上4点，方案粗略简单，样本定位追踪及物流质量保障合理性一般，运输温控措施、应急配送预案合理性一般，得2分； 4.提供的样本运输服务方案未全部涵盖以上4点，得1分； 5.无提供样本运输服务方案，得0分。</w:t>
            </w:r>
          </w:p>
        </w:tc>
      </w:tr>
      <w:tr>
        <w:tc>
          <w:tcPr>
            <w:tcW w:type="dxa" w:w="922"/>
            <w:gridSpan w:val="2"/>
            <w:vMerge/>
          </w:tcPr>
          <w:p/>
        </w:tc>
        <w:tc>
          <w:tcPr>
            <w:tcW w:type="dxa" w:w="2307"/>
          </w:tcPr>
          <w:p>
            <w:pPr>
              <w:pStyle w:val="null3"/>
              <w:jc w:val="left"/>
            </w:pPr>
            <w:r>
              <w:rPr/>
              <w:t>售后服务方案 (7.0分)</w:t>
            </w:r>
          </w:p>
        </w:tc>
        <w:tc>
          <w:tcPr>
            <w:tcW w:type="dxa" w:w="5076"/>
          </w:tcPr>
          <w:p>
            <w:pPr>
              <w:pStyle w:val="null3"/>
              <w:jc w:val="left"/>
            </w:pPr>
            <w:r>
              <w:rPr/>
              <w:t>根据投标人针对本项目提供的售后服务方案（包括：（1）供服务电话；（2) 网络查询等多种渠道供业务咨询；（3）报告查询；（4）账单查询统计功能；（5）设有售后服务专线电话；（6）专门负责处理相关的日常咨询及售后服务工作制度；（7）技术支持；（8）报告解释、结果解读等)进行综合评审： 1.售后服务方案包括上述8点，方案具体详尽，处理机制合理可行，实施方法操作性强，得7分； 2.售后服务方案包括上述8点，方案完整，处理机制基本合理可行，实施方法可操作性一般，4分； 3.售后服务方案包括上述8点，方案简单，处理机制合理性一般，实施方法操作性欠缺，得2分； 4.提供的售后服务方案未全部涵盖以上8点，得1分； 5.无提供售后服务方案，得0分。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2022年1月1日至今投标人曾经合作过同类项目的检验委托服务合同（以合签订时间为准）；每提供一个合作机构的证明材料得1分，本项最高得5分。 【注：须提供合同复印件并加盖投标人公章；合同复印件应当完整、清晰，并加盖投标人公章，否则视为无效业绩；】</w:t>
            </w:r>
          </w:p>
        </w:tc>
      </w:tr>
      <w:tr>
        <w:tc>
          <w:tcPr>
            <w:tcW w:type="dxa" w:w="922"/>
            <w:gridSpan w:val="2"/>
            <w:vMerge/>
          </w:tcPr>
          <w:p/>
        </w:tc>
        <w:tc>
          <w:tcPr>
            <w:tcW w:type="dxa" w:w="2307"/>
          </w:tcPr>
          <w:p>
            <w:pPr>
              <w:pStyle w:val="null3"/>
              <w:jc w:val="left"/>
            </w:pPr>
            <w:r>
              <w:rPr/>
              <w:t>投标人室间质评能力验证 (6.0分)</w:t>
            </w:r>
          </w:p>
        </w:tc>
        <w:tc>
          <w:tcPr>
            <w:tcW w:type="dxa" w:w="5076"/>
          </w:tcPr>
          <w:p>
            <w:pPr>
              <w:pStyle w:val="null3"/>
              <w:jc w:val="left"/>
            </w:pPr>
            <w:r>
              <w:rPr/>
              <w:t>自2022年1月1日以来参加省级或以上临床检验中心的室间质量评价活动中成绩合格的项目： 1、合格项目25项（含） 以上得6分； 2、合格项目16-24项得3 分； 3、合格项目1-15项得1分； 4、未通过不得分。 【注：提供室间质评证书复印件，未提供或提供的不符合要求的均不得分。】</w:t>
            </w:r>
          </w:p>
        </w:tc>
      </w:tr>
      <w:tr>
        <w:tc>
          <w:tcPr>
            <w:tcW w:type="dxa" w:w="922"/>
            <w:gridSpan w:val="2"/>
            <w:vMerge/>
          </w:tcPr>
          <w:p/>
        </w:tc>
        <w:tc>
          <w:tcPr>
            <w:tcW w:type="dxa" w:w="2307"/>
          </w:tcPr>
          <w:p>
            <w:pPr>
              <w:pStyle w:val="null3"/>
              <w:jc w:val="left"/>
            </w:pPr>
            <w:r>
              <w:rPr/>
              <w:t>投标人认证情况 (6.0分)</w:t>
            </w:r>
          </w:p>
        </w:tc>
        <w:tc>
          <w:tcPr>
            <w:tcW w:type="dxa" w:w="5076"/>
          </w:tcPr>
          <w:p>
            <w:pPr>
              <w:pStyle w:val="null3"/>
              <w:jc w:val="left"/>
            </w:pPr>
            <w:r>
              <w:rPr/>
              <w:t>1、投标人具备《质量管理体系认证证书》得2分； 2、投标人具备《信息安全管理体系认证证书》得2分； 3、投标人具备《信息技术服务管理体系认证证书》得2分。 【注： ①须提供在全国认证认可信息公共服务平台上（http: //cx.cnca.cn ）查询结果的截图（须清晰可辨）并加盖投标人公章，证书状态必须为“有效” ，不提供不得分。 ②如投标人成立时间不满足认证证书申请条件的,视为满足该项评分。提供声明函(格式自拟)，不提供不得分。】</w:t>
            </w:r>
          </w:p>
        </w:tc>
      </w:tr>
      <w:tr>
        <w:tc>
          <w:tcPr>
            <w:tcW w:type="dxa" w:w="922"/>
            <w:gridSpan w:val="2"/>
            <w:vMerge/>
          </w:tcPr>
          <w:p/>
        </w:tc>
        <w:tc>
          <w:tcPr>
            <w:tcW w:type="dxa" w:w="2307"/>
          </w:tcPr>
          <w:p>
            <w:pPr>
              <w:pStyle w:val="null3"/>
              <w:jc w:val="left"/>
            </w:pPr>
            <w:r>
              <w:rPr/>
              <w:t>服务投诉处理响应时间 (3.0分)</w:t>
            </w:r>
          </w:p>
        </w:tc>
        <w:tc>
          <w:tcPr>
            <w:tcW w:type="dxa" w:w="5076"/>
          </w:tcPr>
          <w:p>
            <w:pPr>
              <w:pStyle w:val="null3"/>
              <w:jc w:val="left"/>
            </w:pPr>
            <w:r>
              <w:rPr/>
              <w:t>根据收到采购人通知后，投标人服务投诉处理或协助采购人投诉处理的响应及处理时间进行评审： 1.可在3小时内（含）进行响应并派代表到达采购人处沟通处理的，得3分； 2.可在3小时（含）-10小时（不含） 内进行响应并派代表到达采购人处沟通处理的，得1分； 3.超过10小时进行处理的，得0分。 【注：提供响应及处理时间承诺函（格式自拟）并加盖投标人公章，不提供不得分。】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甲方：</w:t>
      </w:r>
      <w:r>
        <w:rPr>
          <w:sz w:val="24"/>
          <w:u w:val="single"/>
        </w:rPr>
        <w:t>广州医科大学附属肿瘤医院</w:t>
      </w:r>
    </w:p>
    <w:p>
      <w:pPr>
        <w:pStyle w:val="null3"/>
        <w:ind w:firstLine="720"/>
        <w:jc w:val="both"/>
      </w:pPr>
      <w:r>
        <w:rPr>
          <w:sz w:val="24"/>
        </w:rPr>
        <w:t>电话：</w:t>
      </w:r>
      <w:r>
        <w:rPr>
          <w:u w:val="single"/>
        </w:rPr>
        <w:t xml:space="preserve">         </w:t>
      </w:r>
      <w:r>
        <w:rPr>
          <w:sz w:val="24"/>
        </w:rPr>
        <w:t xml:space="preserve">   </w:t>
      </w:r>
      <w:r>
        <w:rPr>
          <w:sz w:val="24"/>
        </w:rPr>
        <w:t>传真：</w:t>
      </w:r>
      <w:r>
        <w:rPr>
          <w:u w:val="single"/>
        </w:rPr>
        <w:t xml:space="preserve">         </w:t>
      </w:r>
    </w:p>
    <w:p>
      <w:pPr>
        <w:pStyle w:val="null3"/>
        <w:ind w:firstLine="720"/>
        <w:jc w:val="both"/>
      </w:pPr>
      <w:r>
        <w:rPr>
          <w:sz w:val="24"/>
        </w:rPr>
        <w:t>地址：</w:t>
      </w:r>
      <w:r>
        <w:rPr>
          <w:sz w:val="24"/>
          <w:u w:val="single"/>
        </w:rPr>
        <w:t>广州市越秀区横枝岗路</w:t>
      </w:r>
      <w:r>
        <w:rPr>
          <w:sz w:val="24"/>
          <w:u w:val="single"/>
        </w:rPr>
        <w:t>78号</w:t>
      </w:r>
    </w:p>
    <w:p>
      <w:pPr>
        <w:pStyle w:val="null3"/>
        <w:jc w:val="both"/>
      </w:pPr>
      <w:r>
        <w:rPr>
          <w:sz w:val="24"/>
          <w:b/>
        </w:rPr>
        <w:t>乙方：</w:t>
      </w:r>
      <w:r>
        <w:rPr>
          <w:u w:val="single"/>
        </w:rPr>
        <w:t xml:space="preserve">                        </w:t>
      </w:r>
    </w:p>
    <w:p>
      <w:pPr>
        <w:pStyle w:val="null3"/>
        <w:ind w:firstLine="480"/>
        <w:jc w:val="both"/>
      </w:pPr>
      <w:r>
        <w:rPr>
          <w:sz w:val="24"/>
        </w:rPr>
        <w:t>电话：</w:t>
      </w:r>
      <w:r>
        <w:rPr>
          <w:u w:val="single"/>
        </w:rPr>
        <w:t xml:space="preserve">         </w:t>
      </w:r>
      <w:r>
        <w:rPr>
          <w:sz w:val="24"/>
        </w:rPr>
        <w:t>传真：</w:t>
      </w:r>
      <w:r>
        <w:rPr>
          <w:u w:val="single"/>
        </w:rPr>
        <w:t xml:space="preserve">         </w:t>
      </w:r>
    </w:p>
    <w:p>
      <w:pPr>
        <w:pStyle w:val="null3"/>
        <w:ind w:firstLine="480"/>
        <w:jc w:val="both"/>
      </w:pPr>
      <w:r>
        <w:rPr>
          <w:sz w:val="24"/>
        </w:rPr>
        <w:t>地址：</w:t>
      </w:r>
      <w:r>
        <w:rPr>
          <w:u w:val="single"/>
        </w:rPr>
        <w:t xml:space="preserve">                        </w:t>
      </w:r>
    </w:p>
    <w:p>
      <w:pPr>
        <w:pStyle w:val="null3"/>
        <w:ind w:firstLine="480"/>
        <w:jc w:val="both"/>
      </w:pPr>
      <w:r>
        <w:rPr>
          <w:sz w:val="24"/>
        </w:rPr>
        <w:t>采购项目名称：</w:t>
      </w:r>
      <w:r>
        <w:rPr>
          <w:u w:val="single"/>
        </w:rPr>
        <w:t xml:space="preserve">                      </w:t>
      </w:r>
    </w:p>
    <w:p>
      <w:pPr>
        <w:pStyle w:val="null3"/>
        <w:ind w:firstLine="480"/>
        <w:jc w:val="both"/>
      </w:pPr>
      <w:r>
        <w:rPr>
          <w:sz w:val="24"/>
        </w:rPr>
        <w:t>采购文件编号：</w:t>
      </w:r>
      <w:r>
        <w:rPr>
          <w:u w:val="single"/>
        </w:rPr>
        <w:t xml:space="preserve">           </w:t>
      </w:r>
    </w:p>
    <w:p>
      <w:pPr>
        <w:pStyle w:val="null3"/>
        <w:ind w:firstLine="480"/>
        <w:jc w:val="both"/>
      </w:pPr>
      <w:r>
        <w:rPr>
          <w:sz w:val="24"/>
        </w:rPr>
        <w:t>根据（采购文件编号：）的采购结果，按照《中华人民共和国政府采购法》、《民法典》的规定，经双方协商，本着平等互利和诚实信用的原则，一致同意签订本合同如下。</w:t>
      </w:r>
    </w:p>
    <w:p>
      <w:pPr>
        <w:pStyle w:val="null3"/>
        <w:jc w:val="both"/>
      </w:pPr>
      <w:r>
        <w:rPr>
          <w:sz w:val="24"/>
          <w:b/>
        </w:rPr>
        <w:t>一、</w:t>
      </w:r>
      <w:r>
        <w:rPr>
          <w:sz w:val="24"/>
          <w:b/>
        </w:rPr>
        <w:t>服务内容：</w:t>
      </w:r>
    </w:p>
    <w:p>
      <w:pPr>
        <w:pStyle w:val="null3"/>
        <w:ind w:firstLine="482"/>
      </w:pPr>
      <w:r>
        <w:rPr>
          <w:sz w:val="24"/>
          <w:b/>
        </w:rPr>
        <w:t>1.项目人员及设施设备配置</w:t>
      </w:r>
      <w:r>
        <w:rPr>
          <w:sz w:val="24"/>
          <w:b/>
        </w:rPr>
        <w:t>：</w:t>
      </w:r>
    </w:p>
    <w:p>
      <w:pPr>
        <w:pStyle w:val="null3"/>
        <w:ind w:firstLine="480"/>
      </w:pPr>
      <w:r>
        <w:rPr>
          <w:sz w:val="24"/>
        </w:rPr>
        <w:t>1.1具体检验外送服务项目清单</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187"/>
        <w:gridCol w:w="1187"/>
        <w:gridCol w:w="1187"/>
        <w:gridCol w:w="1187"/>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序号</w:t>
            </w:r>
          </w:p>
        </w:tc>
        <w:tc>
          <w:tcPr>
            <w:tcW w:type="dxa" w:w="118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名称</w:t>
            </w:r>
          </w:p>
        </w:tc>
        <w:tc>
          <w:tcPr>
            <w:tcW w:type="dxa" w:w="118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标准项目</w:t>
            </w:r>
          </w:p>
          <w:p>
            <w:pPr>
              <w:pStyle w:val="null3"/>
              <w:jc w:val="center"/>
            </w:pPr>
            <w:r>
              <w:rPr>
                <w:sz w:val="24"/>
                <w:b/>
              </w:rPr>
              <w:t>单项名称</w:t>
            </w:r>
          </w:p>
        </w:tc>
        <w:tc>
          <w:tcPr>
            <w:tcW w:type="dxa" w:w="118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次数</w:t>
            </w:r>
          </w:p>
        </w:tc>
        <w:tc>
          <w:tcPr>
            <w:tcW w:type="dxa" w:w="118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检验方法</w:t>
            </w:r>
          </w:p>
        </w:tc>
        <w:tc>
          <w:tcPr>
            <w:tcW w:type="dxa" w:w="118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年例数</w:t>
            </w:r>
          </w:p>
        </w:tc>
        <w:tc>
          <w:tcPr>
            <w:tcW w:type="dxa" w:w="118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单价</w:t>
            </w:r>
            <w:r>
              <w:rPr>
                <w:sz w:val="24"/>
                <w:b/>
              </w:rPr>
              <w:t>限价</w:t>
            </w:r>
          </w:p>
        </w:tc>
      </w:tr>
      <w:tr>
        <w:tc>
          <w:tcPr>
            <w:tcW w:type="dxa" w:w="1187"/>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rPr>
              <w:t>1</w:t>
            </w:r>
          </w:p>
        </w:tc>
        <w:tc>
          <w:tcPr>
            <w:tcW w:type="dxa" w:w="118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rPr>
              <w:t>肿瘤高发六癌基因甲基化检测</w:t>
            </w:r>
          </w:p>
        </w:tc>
        <w:tc>
          <w:tcPr>
            <w:tcW w:type="dxa" w:w="118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rPr>
              <w:t>甲基化检测</w:t>
            </w:r>
          </w:p>
        </w:tc>
        <w:tc>
          <w:tcPr>
            <w:tcW w:type="dxa" w:w="118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rPr>
              <w:t>1</w:t>
            </w:r>
          </w:p>
        </w:tc>
        <w:tc>
          <w:tcPr>
            <w:tcW w:type="dxa" w:w="118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rPr>
              <w:t>荧光</w:t>
            </w:r>
            <w:r>
              <w:rPr>
                <w:sz w:val="24"/>
              </w:rPr>
              <w:t>PCR</w:t>
            </w:r>
          </w:p>
        </w:tc>
        <w:tc>
          <w:tcPr>
            <w:tcW w:type="dxa" w:w="118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rPr>
              <w:t>1800</w:t>
            </w:r>
          </w:p>
        </w:tc>
        <w:tc>
          <w:tcPr>
            <w:tcW w:type="dxa" w:w="118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rPr>
              <w:t>550元/例</w:t>
            </w:r>
          </w:p>
        </w:tc>
      </w:tr>
    </w:tbl>
    <w:p>
      <w:pPr>
        <w:pStyle w:val="null3"/>
        <w:ind w:firstLine="480"/>
      </w:pPr>
      <w:r>
        <w:rPr>
          <w:sz w:val="24"/>
        </w:rPr>
        <w:t>1.2实验室负责人应当经过省级以上卫生行政部门组织的相关培训；</w:t>
      </w:r>
    </w:p>
    <w:p>
      <w:pPr>
        <w:pStyle w:val="null3"/>
        <w:ind w:firstLine="480"/>
      </w:pPr>
      <w:r>
        <w:rPr>
          <w:sz w:val="24"/>
        </w:rPr>
        <w:t>1.3乙方的实验室具有有效期内的中国合格评定国家认可委员会授权核发的实验室认可证书（认证标准为《医学实验室质量和能力认可准则》（CNAS-CL02）、《临床实验室定量测定室内质量控制指南》（WS/T 641-2018）、《临床实验室室间质量评价要求》（GB/T 20470-2006））。</w:t>
      </w:r>
    </w:p>
    <w:p>
      <w:pPr>
        <w:pStyle w:val="null3"/>
        <w:ind w:firstLine="480"/>
      </w:pPr>
      <w:r>
        <w:rPr>
          <w:sz w:val="24"/>
        </w:rPr>
        <w:t>1.4提供为本项目配备的人员名册以及其相应专业技术资格（注：必须包含项目配备的医师和技术人员资料，其他人员资料包括且不限于专业学历、专业技术职务及担任资格、与本项目相关的岗位培训）；</w:t>
      </w:r>
    </w:p>
    <w:p>
      <w:pPr>
        <w:pStyle w:val="null3"/>
        <w:ind w:firstLine="480"/>
      </w:pPr>
      <w:r>
        <w:rPr>
          <w:sz w:val="24"/>
        </w:rPr>
        <w:t>1.5本项目使用的检测用设备具有有效的医疗器械注册证，试剂应提供性能验证数据；</w:t>
      </w:r>
    </w:p>
    <w:p>
      <w:pPr>
        <w:pStyle w:val="null3"/>
        <w:ind w:firstLine="482"/>
      </w:pPr>
      <w:r>
        <w:rPr>
          <w:sz w:val="24"/>
          <w:b/>
        </w:rPr>
        <w:t>2.项目实施方案：</w:t>
      </w:r>
    </w:p>
    <w:p>
      <w:pPr>
        <w:pStyle w:val="null3"/>
        <w:ind w:firstLine="480"/>
      </w:pPr>
      <w:r>
        <w:rPr>
          <w:sz w:val="24"/>
        </w:rPr>
        <w:t>2.1项目实施方案：提供分析前质量保证措施，包括且不限于标本准备、采集、标本储存、标本交接和标本接收等闭环标准操作规程（SOP）；应急保障措施(SOP)等。</w:t>
      </w:r>
    </w:p>
    <w:p>
      <w:pPr>
        <w:pStyle w:val="null3"/>
        <w:ind w:firstLine="480"/>
      </w:pPr>
      <w:r>
        <w:rPr>
          <w:sz w:val="24"/>
        </w:rPr>
        <w:t>2.2乙方具备货物运输条件鉴定证明。</w:t>
      </w:r>
    </w:p>
    <w:p>
      <w:pPr>
        <w:pStyle w:val="null3"/>
        <w:ind w:firstLine="480"/>
      </w:pPr>
      <w:r>
        <w:rPr>
          <w:sz w:val="24"/>
        </w:rPr>
        <w:t>2.3数据对接方案：提供的检测数据查询、传输方案（如为电子系统对接，须提供电子系统名称、系统接口要求、数据储存及后续数据处理等情况）</w:t>
      </w:r>
    </w:p>
    <w:p>
      <w:pPr>
        <w:pStyle w:val="null3"/>
        <w:ind w:firstLine="482"/>
      </w:pPr>
      <w:r>
        <w:rPr>
          <w:sz w:val="24"/>
          <w:b/>
        </w:rPr>
        <w:t>3.质控方案：</w:t>
      </w:r>
    </w:p>
    <w:p>
      <w:pPr>
        <w:pStyle w:val="null3"/>
        <w:ind w:firstLine="480"/>
      </w:pPr>
      <w:r>
        <w:rPr>
          <w:sz w:val="24"/>
        </w:rPr>
        <w:t>3.1针对本项目的质量保障措施：包括但不限于服务质量承诺、样本安全性保障、错误率控制、质控评价方案、室间质控、责任承担等方面。对质量承诺、样本安全性保障方案、质量评价、错误率控制和责任承担作出清晰、合理和完善的描述；</w:t>
      </w:r>
    </w:p>
    <w:p>
      <w:pPr>
        <w:pStyle w:val="null3"/>
        <w:ind w:firstLine="480"/>
      </w:pPr>
      <w:r>
        <w:rPr>
          <w:sz w:val="24"/>
        </w:rPr>
        <w:t>3.2提供与本项目相关的质量管理记录范例，包括且不限于：标本接收、标本储存、标本运输交接处理、仪器和试剂及耗材使用情况、校准、室间质控、室间质评等内容。</w:t>
      </w:r>
    </w:p>
    <w:p>
      <w:pPr>
        <w:pStyle w:val="null3"/>
        <w:ind w:firstLine="480"/>
      </w:pPr>
      <w:r>
        <w:rPr>
          <w:sz w:val="24"/>
        </w:rPr>
        <w:t>3.3质量培训方案：提供针对本项目开展院内检测能力、培养医院检测人才的培训方案，应包括但不限于培训承诺、培训计划、培训目标、培训措施等，乙方提供《采样手册》《生物安全手册》《样本入库管理规程》《样本返样及销毁管理规程》等。</w:t>
      </w:r>
    </w:p>
    <w:p>
      <w:pPr>
        <w:pStyle w:val="null3"/>
        <w:ind w:firstLine="480"/>
      </w:pPr>
      <w:r>
        <w:rPr>
          <w:sz w:val="24"/>
        </w:rPr>
        <w:t>3.4提供真实有效的检测报告；报告符合《医疗机构临床实验室管理办法》的要求；报告须真实真实有效；检测标本、出具报告与申请号一一对应；检测报告变异注释和临床意义解释内容需定期更新；</w:t>
      </w:r>
    </w:p>
    <w:p>
      <w:pPr>
        <w:pStyle w:val="null3"/>
        <w:ind w:firstLine="480"/>
      </w:pPr>
      <w:r>
        <w:rPr>
          <w:sz w:val="24"/>
        </w:rPr>
        <w:t>3.5保证按国家检验规范进行操作，并对标本的检验报告承担相应的责任。</w:t>
      </w:r>
    </w:p>
    <w:p>
      <w:pPr>
        <w:pStyle w:val="null3"/>
        <w:ind w:firstLine="480"/>
      </w:pPr>
      <w:r>
        <w:rPr>
          <w:sz w:val="24"/>
        </w:rPr>
        <w:t>3.6有为</w:t>
      </w:r>
      <w:r>
        <w:rPr>
          <w:sz w:val="24"/>
        </w:rPr>
        <w:t>甲方</w:t>
      </w:r>
      <w:r>
        <w:rPr>
          <w:sz w:val="24"/>
        </w:rPr>
        <w:t>保密的义务，未经同意不得泄露委托检验的项目、检验的内容、检验的结果。</w:t>
      </w:r>
    </w:p>
    <w:p>
      <w:pPr>
        <w:pStyle w:val="null3"/>
        <w:ind w:firstLine="480"/>
      </w:pPr>
      <w:r>
        <w:rPr>
          <w:sz w:val="24"/>
        </w:rPr>
        <w:t>3.7检测样本、检测数据的所有权、使用权为</w:t>
      </w:r>
      <w:r>
        <w:rPr>
          <w:sz w:val="24"/>
        </w:rPr>
        <w:t>甲方</w:t>
      </w:r>
      <w:r>
        <w:rPr>
          <w:sz w:val="24"/>
        </w:rPr>
        <w:t>所有，未经许可不得挪作它用。</w:t>
      </w:r>
    </w:p>
    <w:p>
      <w:pPr>
        <w:pStyle w:val="null3"/>
        <w:ind w:firstLine="480"/>
      </w:pPr>
      <w:r>
        <w:rPr>
          <w:sz w:val="24"/>
        </w:rPr>
        <w:t>3.8能够按</w:t>
      </w:r>
      <w:r>
        <w:rPr>
          <w:sz w:val="24"/>
        </w:rPr>
        <w:t>甲方</w:t>
      </w:r>
      <w:r>
        <w:rPr>
          <w:sz w:val="24"/>
        </w:rPr>
        <w:t>要求妥善保存及销毁检验后样本。</w:t>
      </w:r>
    </w:p>
    <w:p>
      <w:pPr>
        <w:pStyle w:val="null3"/>
        <w:ind w:firstLine="480"/>
      </w:pPr>
      <w:r>
        <w:rPr>
          <w:sz w:val="24"/>
        </w:rPr>
        <w:t>3.9保证检验结果的公正性，不受任何诱使或压力的干扰。</w:t>
      </w:r>
    </w:p>
    <w:p>
      <w:pPr>
        <w:pStyle w:val="null3"/>
        <w:ind w:firstLine="480"/>
      </w:pPr>
      <w:r>
        <w:rPr>
          <w:sz w:val="24"/>
        </w:rPr>
        <w:t>3.10标本在送检运输过程中出现延迟、遗漏、丢失等情况，乙方应有完善的应急处理方案予以妥善解决，否则乙方应承担相应责任。</w:t>
      </w:r>
    </w:p>
    <w:p>
      <w:pPr>
        <w:pStyle w:val="null3"/>
        <w:ind w:firstLine="480"/>
      </w:pPr>
      <w:r>
        <w:rPr>
          <w:sz w:val="24"/>
        </w:rPr>
        <w:t>4.乙方出具的报告必须符合《医疗机构临床实验室管理办法》的基本规定。</w:t>
      </w:r>
    </w:p>
    <w:p>
      <w:pPr>
        <w:pStyle w:val="null3"/>
        <w:jc w:val="both"/>
      </w:pPr>
      <w:r>
        <w:rPr>
          <w:sz w:val="24"/>
          <w:b/>
        </w:rPr>
        <w:t>二、</w:t>
      </w:r>
      <w:r>
        <w:rPr>
          <w:sz w:val="24"/>
          <w:b/>
        </w:rPr>
        <w:t>考核要求</w:t>
      </w:r>
    </w:p>
    <w:p>
      <w:pPr>
        <w:pStyle w:val="null3"/>
        <w:jc w:val="center"/>
      </w:pPr>
      <w:r>
        <w:rPr>
          <w:sz w:val="24"/>
          <w:b/>
        </w:rPr>
        <w:t>《广州医科大学附属肿瘤医院检验外送服务考核标准》</w:t>
      </w:r>
    </w:p>
    <w:p>
      <w:pPr>
        <w:pStyle w:val="null3"/>
        <w:jc w:val="center"/>
      </w:pPr>
      <w:r>
        <w:rPr>
          <w:sz w:val="24"/>
        </w:rPr>
        <w:t>1、每一个月为一个考核周期，甲方每月不定期组织相关人员对乙方的服务进行考核。</w:t>
      </w:r>
    </w:p>
    <w:p>
      <w:pPr>
        <w:pStyle w:val="null3"/>
        <w:ind w:firstLine="480"/>
        <w:jc w:val="both"/>
      </w:pPr>
      <w:r>
        <w:rPr>
          <w:sz w:val="24"/>
        </w:rPr>
        <w:t>考评内容详见《月度考核表》。</w:t>
      </w:r>
    </w:p>
    <w:p>
      <w:pPr>
        <w:pStyle w:val="null3"/>
        <w:ind w:firstLine="480"/>
        <w:jc w:val="both"/>
      </w:pPr>
      <w:r>
        <w:rPr>
          <w:sz w:val="24"/>
        </w:rPr>
        <w:t>2、甲方将根据每月的考核情况支付检测服务费。考核满分为100分，月考核得分在90分（含）以上的为合格，全额支付当月的服务费；考核得分在70分（含）以上且90分（不含）以下的，以90分为基准分，每低于基准分1分，扣减该月度服务分的100元/分：考核得分低70分（不含）的，甲方有权不支付当月服务费，乙方须根据扣分项目做出整改。服务内累计两次考核分低于70分（不含），甲方有权解除合同。</w:t>
      </w:r>
    </w:p>
    <w:p>
      <w:pPr>
        <w:pStyle w:val="null3"/>
        <w:ind w:firstLine="480"/>
        <w:jc w:val="both"/>
      </w:pPr>
      <w:r>
        <w:rPr>
          <w:sz w:val="24"/>
        </w:rPr>
        <w:t>3、部分考核项目如不符合要求除扣分外，还需在月度服务费中额外扣减相应金额。</w:t>
      </w:r>
    </w:p>
    <w:p>
      <w:pPr>
        <w:pStyle w:val="null3"/>
        <w:ind w:firstLine="480"/>
        <w:jc w:val="both"/>
      </w:pPr>
      <w:r>
        <w:rPr>
          <w:sz w:val="24"/>
        </w:rPr>
        <w:t>4、考核细则</w:t>
      </w:r>
    </w:p>
    <w:p>
      <w:pPr>
        <w:pStyle w:val="null3"/>
        <w:jc w:val="center"/>
      </w:pPr>
      <w:r>
        <w:rPr>
          <w:sz w:val="24"/>
          <w:b/>
        </w:rPr>
        <w:t>月度考核表</w:t>
      </w:r>
    </w:p>
    <w:tbl>
      <w:tblPr>
        <w:tblW w:w="0" w:type="auto"/>
        <w:tblInd w:type="dxa" w:w="360"/>
        <w:tblBorders>
          <w:top w:val="none" w:color="000000" w:sz="4"/>
          <w:left w:val="none" w:color="000000" w:sz="4"/>
          <w:bottom w:val="none" w:color="000000" w:sz="4"/>
          <w:right w:val="none" w:color="000000" w:sz="4"/>
          <w:insideH w:val="none"/>
          <w:insideV w:val="none"/>
        </w:tblBorders>
      </w:tblPr>
      <w:tblGrid>
        <w:gridCol w:w="1198"/>
        <w:gridCol w:w="826"/>
        <w:gridCol w:w="3182"/>
        <w:gridCol w:w="2163"/>
        <w:gridCol w:w="937"/>
      </w:tblGrid>
      <w:tr>
        <w:tc>
          <w:tcPr>
            <w:tcW w:type="dxa" w:w="119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考核模块</w:t>
            </w:r>
          </w:p>
        </w:tc>
        <w:tc>
          <w:tcPr>
            <w:tcW w:type="dxa" w:w="82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序号</w:t>
            </w:r>
          </w:p>
        </w:tc>
        <w:tc>
          <w:tcPr>
            <w:tcW w:type="dxa" w:w="318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考核内容</w:t>
            </w:r>
          </w:p>
        </w:tc>
        <w:tc>
          <w:tcPr>
            <w:tcW w:type="dxa" w:w="216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考核标准</w:t>
            </w:r>
          </w:p>
        </w:tc>
        <w:tc>
          <w:tcPr>
            <w:tcW w:type="dxa" w:w="93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得分值</w:t>
            </w:r>
          </w:p>
        </w:tc>
      </w:tr>
      <w:tr>
        <w:tc>
          <w:tcPr>
            <w:tcW w:type="dxa" w:w="1198"/>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标本采集与运送</w:t>
            </w:r>
          </w:p>
          <w:p>
            <w:pPr>
              <w:pStyle w:val="null3"/>
              <w:jc w:val="center"/>
            </w:pPr>
            <w:r>
              <w:rPr>
                <w:sz w:val="21"/>
              </w:rPr>
              <w:t>（</w:t>
            </w:r>
            <w:r>
              <w:rPr>
                <w:sz w:val="21"/>
              </w:rPr>
              <w:t>12分）</w:t>
            </w: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有标本全流程交接和跟踪管理记录（</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2</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标本接收及送检及时，无遗漏，无丢失（</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3</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按规范流程进行标本接收，登记和包装（</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4</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按照约定时间和频率到院采集标本（</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无故缺收</w:t>
            </w:r>
            <w:r>
              <w:rPr>
                <w:sz w:val="21"/>
              </w:rPr>
              <w:t>1次的，每次扣3分。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结果反馈及解读</w:t>
            </w:r>
          </w:p>
          <w:p>
            <w:pPr>
              <w:pStyle w:val="null3"/>
              <w:jc w:val="center"/>
            </w:pPr>
            <w:r>
              <w:rPr>
                <w:sz w:val="21"/>
              </w:rPr>
              <w:t>（</w:t>
            </w:r>
            <w:r>
              <w:rPr>
                <w:sz w:val="21"/>
              </w:rPr>
              <w:t>35分）</w:t>
            </w: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5</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初检发现因取样原因不合格的标本及时通知医院（</w:t>
            </w:r>
            <w:r>
              <w:rPr>
                <w:sz w:val="21"/>
              </w:rPr>
              <w:t>5分）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5分。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6</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检测结果在约定时限内出具报告（</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7</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检测结果及时上传医院电子系统（</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8</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检验结果可网上或电子化查询，客服电话支持的服务畅通（</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不符合要求，每次扣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9</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有外送项目危急值清单、危急值报告流程及记录（</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不符合要求的，每项扣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10</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发现危急值在验单审核</w:t>
            </w:r>
            <w:r>
              <w:rPr>
                <w:sz w:val="21"/>
              </w:rPr>
              <w:t>15分钟内通过电话通知甲方（15分）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15分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11</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有危急值流程及报告记录（</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不符合要求的，每项扣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质量控制及质量保障管理</w:t>
            </w:r>
          </w:p>
          <w:p>
            <w:pPr>
              <w:pStyle w:val="null3"/>
              <w:jc w:val="center"/>
            </w:pPr>
            <w:r>
              <w:rPr>
                <w:sz w:val="21"/>
              </w:rPr>
              <w:t>（</w:t>
            </w:r>
            <w:r>
              <w:rPr>
                <w:sz w:val="21"/>
              </w:rPr>
              <w:t>53分）</w:t>
            </w: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12</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检验报告单由具备相应资质的检验人员签发，由有资质的医师复核（</w:t>
            </w:r>
            <w:r>
              <w:rPr>
                <w:sz w:val="21"/>
              </w:rPr>
              <w:t>15分）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15分。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13</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所有检测项目卫生部室间质评参加率和合格率均为</w:t>
            </w:r>
            <w:r>
              <w:rPr>
                <w:sz w:val="21"/>
              </w:rPr>
              <w:t>100% （15分）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15分。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14</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无室内质评的项目有三甲医院比对合格结果（</w:t>
            </w:r>
            <w:r>
              <w:rPr>
                <w:sz w:val="21"/>
              </w:rPr>
              <w:t>5分）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不符合要求的，每项扣</w:t>
            </w:r>
            <w:r>
              <w:rPr>
                <w:sz w:val="21"/>
              </w:rPr>
              <w:t>5分。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15</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所有检测项目室内质控记录完整，具备失控分析报告（</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不符合要求的，每项扣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16</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未发生因乙方原因导致的医疗投诉或医疗纠纷</w:t>
            </w:r>
            <w:r>
              <w:rPr>
                <w:sz w:val="21"/>
              </w:rPr>
              <w:t>（</w:t>
            </w:r>
            <w:r>
              <w:rPr>
                <w:sz w:val="21"/>
              </w:rPr>
              <w:t>15分）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w:t>
            </w:r>
          </w:p>
          <w:p>
            <w:pPr>
              <w:pStyle w:val="null3"/>
              <w:jc w:val="both"/>
            </w:pPr>
            <w:r>
              <w:rPr>
                <w:sz w:val="21"/>
              </w:rPr>
              <w:t>1.</w:t>
            </w:r>
            <w:r>
              <w:rPr>
                <w:sz w:val="21"/>
              </w:rPr>
              <w:t>每次扣</w:t>
            </w:r>
            <w:r>
              <w:rPr>
                <w:sz w:val="21"/>
              </w:rPr>
              <w:t>15分。</w:t>
            </w:r>
          </w:p>
          <w:p>
            <w:pPr>
              <w:pStyle w:val="null3"/>
              <w:jc w:val="both"/>
            </w:pPr>
            <w:r>
              <w:rPr>
                <w:sz w:val="21"/>
              </w:rPr>
              <w:t>2.</w:t>
            </w:r>
            <w:r>
              <w:rPr>
                <w:sz w:val="21"/>
              </w:rPr>
              <w:t>按对应检验项目费用的</w:t>
            </w:r>
            <w:r>
              <w:rPr>
                <w:sz w:val="21"/>
              </w:rPr>
              <w:t>2倍进行扣减费用；</w:t>
            </w:r>
          </w:p>
          <w:p>
            <w:pPr>
              <w:pStyle w:val="null3"/>
              <w:jc w:val="both"/>
            </w:pPr>
            <w:r>
              <w:rPr>
                <w:sz w:val="21"/>
              </w:rPr>
              <w:t>3.</w:t>
            </w:r>
            <w:r>
              <w:rPr>
                <w:sz w:val="21"/>
              </w:rPr>
              <w:t>承担相关的经济费用</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5206"/>
            <w:gridSpan w:val="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满分：</w:t>
            </w:r>
            <w:r>
              <w:rPr>
                <w:sz w:val="21"/>
              </w:rPr>
              <w:t>100分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实际得分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pPr>
        <w:pStyle w:val="null3"/>
        <w:jc w:val="both"/>
      </w:pPr>
      <w:r>
        <w:rPr>
          <w:sz w:val="24"/>
        </w:rPr>
        <w:t>5、乙方出现以下情形之一的，甲方有权无条件解除或解除服务合同，由此产生的经济损失和法律责任由乙方承担：</w:t>
      </w:r>
    </w:p>
    <w:p>
      <w:pPr>
        <w:pStyle w:val="null3"/>
        <w:ind w:firstLine="480"/>
        <w:jc w:val="both"/>
      </w:pPr>
      <w:r>
        <w:rPr>
          <w:sz w:val="24"/>
        </w:rPr>
        <w:t>（</w:t>
      </w:r>
      <w:r>
        <w:rPr>
          <w:sz w:val="24"/>
        </w:rPr>
        <w:t>1)服务期内2次考评不合格的；</w:t>
      </w:r>
    </w:p>
    <w:p>
      <w:pPr>
        <w:pStyle w:val="null3"/>
        <w:ind w:firstLine="480"/>
        <w:jc w:val="both"/>
      </w:pPr>
      <w:r>
        <w:rPr>
          <w:sz w:val="24"/>
        </w:rPr>
        <w:t>（</w:t>
      </w:r>
      <w:r>
        <w:rPr>
          <w:sz w:val="24"/>
        </w:rPr>
        <w:t>2)一年内出现2次标本遗漏，丢失等情况；</w:t>
      </w:r>
    </w:p>
    <w:p>
      <w:pPr>
        <w:pStyle w:val="null3"/>
        <w:ind w:firstLine="480"/>
        <w:jc w:val="both"/>
      </w:pPr>
      <w:r>
        <w:rPr>
          <w:sz w:val="24"/>
        </w:rPr>
        <w:t>（</w:t>
      </w:r>
      <w:r>
        <w:rPr>
          <w:sz w:val="24"/>
        </w:rPr>
        <w:t>3)一年内出现2次检验结果严重误差，错误而导致甲方医疗纠纷或医疗事故等不良后果；</w:t>
      </w:r>
    </w:p>
    <w:p>
      <w:pPr>
        <w:pStyle w:val="null3"/>
        <w:ind w:firstLine="480"/>
        <w:jc w:val="both"/>
      </w:pPr>
      <w:r>
        <w:rPr>
          <w:sz w:val="24"/>
        </w:rPr>
        <w:t>（</w:t>
      </w:r>
      <w:r>
        <w:rPr>
          <w:sz w:val="24"/>
        </w:rPr>
        <w:t>4)擅自变动人员，导致人员配置不符合磋商文件要求；</w:t>
      </w:r>
    </w:p>
    <w:p>
      <w:pPr>
        <w:pStyle w:val="null3"/>
        <w:ind w:firstLine="480"/>
        <w:jc w:val="both"/>
      </w:pPr>
      <w:r>
        <w:rPr>
          <w:sz w:val="24"/>
        </w:rPr>
        <w:t>（</w:t>
      </w:r>
      <w:r>
        <w:rPr>
          <w:sz w:val="24"/>
        </w:rPr>
        <w:t>5)乙方未经知照甲方，擅自更改流程且不合符磋商文件要求的：</w:t>
      </w:r>
    </w:p>
    <w:p>
      <w:pPr>
        <w:pStyle w:val="null3"/>
        <w:ind w:firstLine="480"/>
        <w:jc w:val="both"/>
      </w:pPr>
      <w:r>
        <w:rPr>
          <w:sz w:val="24"/>
        </w:rPr>
        <w:t>（</w:t>
      </w:r>
      <w:r>
        <w:rPr>
          <w:sz w:val="24"/>
        </w:rPr>
        <w:t>6)因乙方原因导致的医疗事故。</w:t>
      </w:r>
    </w:p>
    <w:p>
      <w:pPr>
        <w:pStyle w:val="null3"/>
        <w:ind w:firstLine="480"/>
        <w:jc w:val="both"/>
      </w:pPr>
      <w:r>
        <w:rPr>
          <w:sz w:val="24"/>
        </w:rPr>
        <w:t>（</w:t>
      </w:r>
      <w:r>
        <w:rPr>
          <w:sz w:val="24"/>
        </w:rPr>
        <w:t>7)乙方有为甲方保密的义务，在未经甲方同意或授权前提下，乙方不得向甲方及其工作人员以外的任何单位或个人泄露甲方委托检验的项目、检验的内容、检验的结果，但受检者及其授权代理人查询、咨询其检验项目事宜的除外。</w:t>
      </w:r>
    </w:p>
    <w:p>
      <w:pPr>
        <w:pStyle w:val="null3"/>
        <w:jc w:val="both"/>
      </w:pPr>
      <w:r>
        <w:rPr>
          <w:sz w:val="24"/>
          <w:b/>
        </w:rPr>
        <w:t>三</w:t>
      </w:r>
      <w:r>
        <w:rPr>
          <w:sz w:val="24"/>
          <w:b/>
        </w:rPr>
        <w:t>、合同总额</w:t>
      </w:r>
    </w:p>
    <w:p>
      <w:pPr>
        <w:pStyle w:val="null3"/>
        <w:ind w:firstLine="480"/>
        <w:jc w:val="both"/>
      </w:pPr>
      <w:r>
        <w:rPr>
          <w:sz w:val="24"/>
        </w:rPr>
        <w:t>大写（人民币）</w:t>
      </w:r>
      <w:r>
        <w:rPr>
          <w:u w:val="single"/>
        </w:rPr>
        <w:t xml:space="preserve">           </w:t>
      </w:r>
      <w:r>
        <w:rPr>
          <w:sz w:val="24"/>
        </w:rPr>
        <w:t>元（￥</w:t>
      </w:r>
      <w:r>
        <w:rPr>
          <w:u w:val="single"/>
        </w:rPr>
        <w:t xml:space="preserve">           </w:t>
      </w:r>
      <w:r>
        <w:rPr>
          <w:sz w:val="24"/>
        </w:rPr>
        <w:t>元）；</w:t>
      </w:r>
      <w:r>
        <w:rPr>
          <w:sz w:val="24"/>
        </w:rPr>
        <w:t>合同</w:t>
      </w:r>
      <w:r>
        <w:rPr>
          <w:sz w:val="24"/>
        </w:rPr>
        <w:t>折扣率：</w:t>
      </w:r>
      <w:r>
        <w:rPr>
          <w:u w:val="single"/>
        </w:rPr>
        <w:t xml:space="preserve">   </w:t>
      </w:r>
      <w:r>
        <w:rPr>
          <w:sz w:val="24"/>
        </w:rPr>
        <w:t xml:space="preserve"> </w:t>
      </w:r>
      <w:r>
        <w:rPr>
          <w:sz w:val="24"/>
        </w:rPr>
        <w:t>%。</w:t>
      </w:r>
      <w:r>
        <w:br/>
      </w:r>
      <w:r>
        <w:rPr>
          <w:sz w:val="24"/>
          <w:b/>
        </w:rPr>
        <w:t>四</w:t>
      </w:r>
      <w:r>
        <w:rPr>
          <w:sz w:val="24"/>
          <w:b/>
        </w:rPr>
        <w:t>、合同履行期限</w:t>
      </w:r>
    </w:p>
    <w:p>
      <w:pPr>
        <w:pStyle w:val="null3"/>
        <w:ind w:firstLine="480"/>
        <w:jc w:val="both"/>
      </w:pPr>
      <w:r>
        <w:rPr>
          <w:sz w:val="24"/>
        </w:rPr>
        <w:t>自合同约定履行之日起</w:t>
      </w:r>
      <w:r>
        <w:rPr>
          <w:u w:val="single"/>
        </w:rPr>
        <w:t xml:space="preserve">    </w:t>
      </w:r>
      <w:r>
        <w:rPr>
          <w:sz w:val="24"/>
        </w:rPr>
        <w:t>年，本项目当实际结算金额累计达到采购预算金额或合同履行期限结束时，则本项目服务终止。</w:t>
      </w:r>
    </w:p>
    <w:p>
      <w:pPr>
        <w:pStyle w:val="null3"/>
        <w:ind w:left="240"/>
        <w:jc w:val="both"/>
      </w:pPr>
      <w:r>
        <w:rPr>
          <w:sz w:val="24"/>
          <w:b/>
        </w:rPr>
        <w:t>五</w:t>
      </w:r>
      <w:r>
        <w:rPr>
          <w:sz w:val="24"/>
          <w:b/>
        </w:rPr>
        <w:t>、服务地点</w:t>
      </w:r>
      <w:r>
        <w:br/>
      </w:r>
      <w:r>
        <w:rPr>
          <w:sz w:val="24"/>
        </w:rPr>
        <w:t>广州医科大学附属肿瘤医院（广州市越秀区横枝岗路</w:t>
      </w:r>
      <w:r>
        <w:rPr>
          <w:sz w:val="24"/>
        </w:rPr>
        <w:t>78号）</w:t>
      </w:r>
    </w:p>
    <w:p>
      <w:pPr>
        <w:pStyle w:val="null3"/>
        <w:ind w:left="-420" w:firstLine="482"/>
        <w:jc w:val="both"/>
      </w:pPr>
      <w:r>
        <w:rPr>
          <w:sz w:val="24"/>
          <w:b/>
        </w:rPr>
        <w:t>六</w:t>
      </w:r>
      <w:r>
        <w:rPr>
          <w:sz w:val="24"/>
          <w:b/>
        </w:rPr>
        <w:t>、付款方式</w:t>
      </w:r>
    </w:p>
    <w:p>
      <w:pPr>
        <w:pStyle w:val="null3"/>
        <w:ind w:firstLine="480"/>
        <w:jc w:val="both"/>
      </w:pPr>
      <w:r>
        <w:rPr>
          <w:sz w:val="24"/>
        </w:rPr>
        <w:t>（</w:t>
      </w:r>
      <w:r>
        <w:rPr>
          <w:sz w:val="24"/>
        </w:rPr>
        <w:t>1）按月按实际发生检验量结合折扣率进行结算，</w:t>
      </w:r>
      <w:r>
        <w:rPr>
          <w:sz w:val="24"/>
        </w:rPr>
        <w:t>乙方</w:t>
      </w:r>
      <w:r>
        <w:rPr>
          <w:sz w:val="24"/>
        </w:rPr>
        <w:t>于每月</w:t>
      </w:r>
      <w:r>
        <w:rPr>
          <w:sz w:val="24"/>
        </w:rPr>
        <w:t>5日前将上月服务费用发票交给</w:t>
      </w:r>
      <w:r>
        <w:rPr>
          <w:sz w:val="24"/>
        </w:rPr>
        <w:t>甲方</w:t>
      </w:r>
      <w:r>
        <w:rPr>
          <w:sz w:val="24"/>
        </w:rPr>
        <w:t>，</w:t>
      </w:r>
      <w:r>
        <w:rPr>
          <w:sz w:val="24"/>
        </w:rPr>
        <w:t>甲方</w:t>
      </w:r>
      <w:r>
        <w:rPr>
          <w:sz w:val="24"/>
        </w:rPr>
        <w:t>每月</w:t>
      </w:r>
      <w:r>
        <w:rPr>
          <w:sz w:val="24"/>
        </w:rPr>
        <w:t>15日前结算上月服务费。</w:t>
      </w:r>
    </w:p>
    <w:p>
      <w:pPr>
        <w:pStyle w:val="null3"/>
        <w:ind w:firstLine="480"/>
        <w:jc w:val="both"/>
      </w:pPr>
      <w:r>
        <w:rPr>
          <w:sz w:val="24"/>
        </w:rPr>
        <w:t>（</w:t>
      </w:r>
      <w:r>
        <w:rPr>
          <w:sz w:val="24"/>
        </w:rPr>
        <w:t>2）月服务费用=每月实际检测项目费用×</w:t>
      </w:r>
      <w:r>
        <w:rPr>
          <w:sz w:val="24"/>
        </w:rPr>
        <w:t>合同</w:t>
      </w:r>
      <w:r>
        <w:rPr>
          <w:sz w:val="24"/>
        </w:rPr>
        <w:t>折扣率</w:t>
      </w:r>
      <w:r>
        <w:rPr>
          <w:sz w:val="24"/>
        </w:rPr>
        <w:t>-扣罚费用（如有）。</w:t>
      </w:r>
    </w:p>
    <w:p>
      <w:pPr>
        <w:pStyle w:val="null3"/>
        <w:ind w:firstLine="480"/>
        <w:jc w:val="both"/>
      </w:pPr>
      <w:r>
        <w:rPr>
          <w:sz w:val="24"/>
        </w:rPr>
        <w:t>（</w:t>
      </w:r>
      <w:r>
        <w:rPr>
          <w:sz w:val="24"/>
        </w:rPr>
        <w:t>3）</w:t>
      </w:r>
      <w:r>
        <w:rPr>
          <w:sz w:val="24"/>
        </w:rPr>
        <w:t>乙方</w:t>
      </w:r>
      <w:r>
        <w:rPr>
          <w:sz w:val="24"/>
        </w:rPr>
        <w:t>凭以下文件与</w:t>
      </w:r>
      <w:r>
        <w:rPr>
          <w:sz w:val="24"/>
        </w:rPr>
        <w:t>甲方</w:t>
      </w:r>
      <w:r>
        <w:rPr>
          <w:sz w:val="24"/>
        </w:rPr>
        <w:t>结算服务费：</w:t>
      </w:r>
      <w:r>
        <w:rPr>
          <w:sz w:val="24"/>
        </w:rPr>
        <w:t>①合同复印件；②经双方确认的检测项目清单；③</w:t>
      </w:r>
      <w:r>
        <w:rPr>
          <w:sz w:val="24"/>
        </w:rPr>
        <w:t>乙方</w:t>
      </w:r>
      <w:r>
        <w:rPr>
          <w:sz w:val="24"/>
        </w:rPr>
        <w:t>开具的有效发票。</w:t>
      </w:r>
    </w:p>
    <w:p>
      <w:pPr>
        <w:pStyle w:val="null3"/>
        <w:jc w:val="both"/>
      </w:pPr>
      <w:r>
        <w:rPr>
          <w:sz w:val="24"/>
          <w:b/>
        </w:rPr>
        <w:t>七</w:t>
      </w:r>
      <w:r>
        <w:rPr>
          <w:sz w:val="24"/>
          <w:b/>
        </w:rPr>
        <w:t>、验收要求</w:t>
      </w:r>
    </w:p>
    <w:p>
      <w:pPr>
        <w:pStyle w:val="null3"/>
        <w:ind w:firstLine="480"/>
        <w:jc w:val="both"/>
      </w:pPr>
      <w:r>
        <w:rPr>
          <w:sz w:val="24"/>
        </w:rPr>
        <w:t>详见</w:t>
      </w:r>
      <w:r>
        <w:rPr>
          <w:sz w:val="24"/>
        </w:rPr>
        <w:t>“</w:t>
      </w:r>
      <w:r>
        <w:rPr>
          <w:sz w:val="24"/>
        </w:rPr>
        <w:t>二</w:t>
      </w:r>
      <w:r>
        <w:rPr>
          <w:sz w:val="24"/>
        </w:rPr>
        <w:t>.考核要求。”</w:t>
      </w:r>
    </w:p>
    <w:p>
      <w:pPr>
        <w:pStyle w:val="null3"/>
        <w:jc w:val="both"/>
      </w:pPr>
      <w:r>
        <w:rPr>
          <w:sz w:val="24"/>
          <w:b/>
        </w:rPr>
        <w:t>八</w:t>
      </w:r>
      <w:r>
        <w:rPr>
          <w:sz w:val="24"/>
          <w:b/>
        </w:rPr>
        <w:t>、售后服务</w:t>
      </w:r>
    </w:p>
    <w:p>
      <w:pPr>
        <w:pStyle w:val="null3"/>
        <w:ind w:firstLine="480"/>
        <w:jc w:val="left"/>
      </w:pPr>
      <w:r>
        <w:rPr>
          <w:sz w:val="24"/>
        </w:rPr>
        <w:t>1.乙方需提供服务电话、网络查询等多种渠道供业务咨询、报告查询、账单查询统计功能方案。设有售后服务专线电话，专门负责处理相关的日常咨询及售后服务工作制度。</w:t>
      </w:r>
    </w:p>
    <w:p>
      <w:pPr>
        <w:pStyle w:val="null3"/>
        <w:ind w:firstLine="480"/>
        <w:jc w:val="left"/>
      </w:pPr>
      <w:r>
        <w:rPr>
          <w:sz w:val="24"/>
        </w:rPr>
        <w:t>2.按照甲方实际工作需求，安排收取标本的工作方案。</w:t>
      </w:r>
    </w:p>
    <w:p>
      <w:pPr>
        <w:pStyle w:val="null3"/>
        <w:ind w:firstLine="480"/>
        <w:jc w:val="left"/>
      </w:pPr>
      <w:r>
        <w:rPr>
          <w:sz w:val="24"/>
        </w:rPr>
        <w:t>3.乙方按照承诺的检测报告时间及时提供检测结果，并能满足甲方急诊项目的优先检测。</w:t>
      </w:r>
    </w:p>
    <w:p>
      <w:pPr>
        <w:pStyle w:val="null3"/>
        <w:jc w:val="both"/>
      </w:pPr>
      <w:r>
        <w:rPr>
          <w:sz w:val="24"/>
          <w:b/>
        </w:rPr>
        <w:t>九</w:t>
      </w:r>
      <w:r>
        <w:rPr>
          <w:sz w:val="24"/>
          <w:b/>
        </w:rPr>
        <w:t>、其他要求</w:t>
      </w:r>
      <w:r>
        <w:br/>
      </w:r>
      <w:r>
        <w:rPr>
          <w:b/>
        </w:rPr>
        <w:t xml:space="preserve">    </w:t>
      </w:r>
      <w:r>
        <w:rPr>
          <w:sz w:val="24"/>
        </w:rPr>
        <w:t>1.甲方对乙方提供的有关资料和数据，是甲方现有的能使乙方使用的资料，甲方对乙方由此而做出的推论、理解和结论概不负责。因法律、法规、标准和政策等相关规定动态变化，不能保证项目正式开始实施时与现有情况、要求完全一致，甲方对检测项目、检测数量不作任何保证，乙方报价时应充分考虑，甲方将不对此承担任何责任和费用。</w:t>
      </w:r>
    </w:p>
    <w:p>
      <w:pPr>
        <w:pStyle w:val="null3"/>
        <w:ind w:firstLine="480"/>
        <w:jc w:val="both"/>
      </w:pPr>
      <w:r>
        <w:rPr>
          <w:sz w:val="24"/>
        </w:rPr>
        <w:t>2.本项目执行过程中所有环节和内容将遵循国家、省、市有关法律、标准、技术规范和规范性文件的最新规定。</w:t>
      </w:r>
    </w:p>
    <w:p>
      <w:pPr>
        <w:pStyle w:val="null3"/>
        <w:ind w:firstLine="480"/>
        <w:jc w:val="both"/>
      </w:pPr>
      <w:r>
        <w:rPr>
          <w:sz w:val="24"/>
        </w:rPr>
        <w:t>3.项目执行过程中，如需甲方配合办理相关手续，或提供相关服务条件，均需在投标文件中详细说明，以便于甲方决定是否接受或提前准备，所涉及的费用均由乙方承担。</w:t>
      </w:r>
      <w:r>
        <w:br/>
      </w:r>
      <w:r>
        <w:rPr>
          <w:sz w:val="24"/>
        </w:rPr>
        <w:t xml:space="preserve">    </w:t>
      </w:r>
      <w:r>
        <w:rPr>
          <w:sz w:val="24"/>
        </w:rPr>
        <w:t>4.乙方必须保证甲方在中华人民共和国境内使用响应货物、资料、技术、服务或其任何部分时，享有不受限制的无偿使用权，如有第三方向甲方提出侵犯其专利权、商标权或其它知识产权的主张，该责任应由乙方承担。</w:t>
      </w:r>
    </w:p>
    <w:p>
      <w:pPr>
        <w:pStyle w:val="null3"/>
        <w:ind w:firstLine="480"/>
        <w:jc w:val="both"/>
      </w:pPr>
      <w:r>
        <w:rPr>
          <w:sz w:val="24"/>
        </w:rPr>
        <w:t>5.投标报价应包含所有应向所有权人支付的专利权、商标权或其它知识产权的一切相关费用。系统软件、通用软件必须是具有在中国境内的合法使用权或版权的正版软件，涉及到第三方提出侵权或知识产权的起诉及支付版税等费用由乙方承担所有责任及费用。</w:t>
      </w:r>
    </w:p>
    <w:p>
      <w:pPr>
        <w:pStyle w:val="null3"/>
        <w:ind w:firstLine="480"/>
        <w:jc w:val="both"/>
      </w:pPr>
      <w:r>
        <w:rPr>
          <w:sz w:val="24"/>
        </w:rPr>
        <w:t>6.法律风险：涉及患者隐私保护和医疗纠纷等法待问题。为有效规避此类法律风验，需与外送机构签订保密协议，确保患者的个人医疗信息得到严格保密，防止任何形式的泄露。同时，双方应明确在医疗纠纷中的责任归属及相应的处理流程，以保障息者和科室的合法权益。</w:t>
      </w:r>
    </w:p>
    <w:p>
      <w:pPr>
        <w:pStyle w:val="null3"/>
        <w:ind w:firstLine="480"/>
        <w:jc w:val="both"/>
      </w:pPr>
      <w:r>
        <w:rPr>
          <w:sz w:val="24"/>
        </w:rPr>
        <w:t>7.乙方有为甲方保密的义务，未经同意不得泄露委托检验的项目、检验的内容、检验的结果。</w:t>
      </w:r>
      <w:r>
        <w:br/>
      </w:r>
      <w:r>
        <w:rPr>
          <w:sz w:val="24"/>
          <w:b/>
        </w:rPr>
        <w:t>十、违约责任</w:t>
      </w:r>
    </w:p>
    <w:p>
      <w:pPr>
        <w:pStyle w:val="null3"/>
        <w:ind w:firstLine="480"/>
        <w:jc w:val="both"/>
      </w:pPr>
      <w:r>
        <w:rPr>
          <w:sz w:val="24"/>
        </w:rPr>
        <w:t>1.未经甲方同意，乙方不得将服务项目发包或转包，否则将视为乙方违约，甲方有权解除合同，并按乙方违约处理。</w:t>
      </w:r>
    </w:p>
    <w:p>
      <w:pPr>
        <w:pStyle w:val="null3"/>
        <w:ind w:firstLine="480"/>
        <w:jc w:val="both"/>
      </w:pPr>
      <w:r>
        <w:rPr>
          <w:sz w:val="24"/>
        </w:rPr>
        <w:t>2.服务期间，乙方违反本合同的规定，甲方可按质量要求另行安排人员、设备进行工作，并按所发生的实际开支费用扣减乙方当期的费用。</w:t>
      </w:r>
    </w:p>
    <w:p>
      <w:pPr>
        <w:pStyle w:val="null3"/>
        <w:ind w:firstLine="480"/>
        <w:jc w:val="both"/>
      </w:pPr>
      <w:r>
        <w:rPr>
          <w:sz w:val="24"/>
        </w:rPr>
        <w:t>3.在履行合同期间，若乙方违约终止本合同，甲方可没收履约保证金并免付尚未支付的服务费用，乙方赔偿甲方因此而造成的经济损失。</w:t>
      </w:r>
    </w:p>
    <w:p>
      <w:pPr>
        <w:pStyle w:val="null3"/>
        <w:ind w:firstLine="480"/>
        <w:jc w:val="both"/>
      </w:pPr>
      <w:r>
        <w:rPr>
          <w:sz w:val="24"/>
        </w:rPr>
        <w:t>4.服务期间，双方必须严格履行合同，在执行过程中，如遇未尽事宜，双方可协商解决，单方面无权变更合同。</w:t>
      </w:r>
    </w:p>
    <w:p>
      <w:pPr>
        <w:pStyle w:val="null3"/>
        <w:ind w:firstLine="480"/>
        <w:jc w:val="both"/>
      </w:pPr>
      <w:r>
        <w:rPr>
          <w:sz w:val="24"/>
        </w:rPr>
        <w:t>5.服务期内，如因乙方违反法律、法规及国家有关政策造成严重后果的，甲方有权解除合同，并按乙方违约处理。</w:t>
      </w:r>
    </w:p>
    <w:p>
      <w:pPr>
        <w:pStyle w:val="null3"/>
        <w:ind w:firstLine="480"/>
        <w:jc w:val="both"/>
      </w:pPr>
      <w:r>
        <w:rPr>
          <w:sz w:val="24"/>
        </w:rPr>
        <w:t>6.发生单方违约，且经协商不果，另一方可向合同签订所在地人民法院进行法律诉讼，追究违约方相应的法律责任和经济责任。</w:t>
      </w:r>
    </w:p>
    <w:p>
      <w:pPr>
        <w:pStyle w:val="null3"/>
        <w:ind w:firstLine="480"/>
        <w:jc w:val="both"/>
      </w:pPr>
      <w:r>
        <w:rPr>
          <w:sz w:val="24"/>
        </w:rPr>
        <w:t>7.由于雷电、地震、火灾、洪水、战争等不可抗力因素和人为破坏因素引起的设备故障损坏及液氦消耗,乙方不需承担责任与备件费用，但须积极帮助甲方修理设备，并自行负责差旅费、人工费等。</w:t>
      </w:r>
    </w:p>
    <w:p>
      <w:pPr>
        <w:pStyle w:val="null3"/>
        <w:jc w:val="both"/>
      </w:pPr>
      <w:r>
        <w:rPr>
          <w:sz w:val="24"/>
          <w:b/>
        </w:rPr>
        <w:t>十</w:t>
      </w:r>
      <w:r>
        <w:rPr>
          <w:sz w:val="24"/>
          <w:b/>
        </w:rPr>
        <w:t>一</w:t>
      </w:r>
      <w:r>
        <w:rPr>
          <w:sz w:val="24"/>
          <w:b/>
        </w:rPr>
        <w:t>、争议及仲裁</w:t>
      </w:r>
    </w:p>
    <w:p>
      <w:pPr>
        <w:pStyle w:val="null3"/>
        <w:ind w:firstLine="480"/>
        <w:jc w:val="both"/>
      </w:pPr>
      <w:r>
        <w:rPr>
          <w:sz w:val="24"/>
        </w:rPr>
        <w:t>凡与本合同有关的一切争议，甲乙双方首先通过友好协商的方式加以解决；若协商后仍未能达成一致，任何一方均可向合同签订所在地人民法院提出诉讼。</w:t>
      </w:r>
    </w:p>
    <w:p>
      <w:pPr>
        <w:pStyle w:val="null3"/>
        <w:jc w:val="both"/>
      </w:pPr>
      <w:r>
        <w:rPr>
          <w:sz w:val="24"/>
          <w:b/>
        </w:rPr>
        <w:t>十</w:t>
      </w:r>
      <w:r>
        <w:rPr>
          <w:sz w:val="24"/>
          <w:b/>
        </w:rPr>
        <w:t>二</w:t>
      </w:r>
      <w:r>
        <w:rPr>
          <w:sz w:val="24"/>
          <w:b/>
        </w:rPr>
        <w:t>、其他</w:t>
      </w:r>
    </w:p>
    <w:p>
      <w:pPr>
        <w:pStyle w:val="null3"/>
        <w:ind w:firstLine="480"/>
        <w:jc w:val="both"/>
      </w:pPr>
      <w:r>
        <w:rPr>
          <w:sz w:val="24"/>
        </w:rPr>
        <w:t>1.合同自甲乙双方法人代表或经其正式授权的委托代理人签字并加盖公章且乙方提交履约保证金（银行保函）后即为生效。</w:t>
      </w:r>
    </w:p>
    <w:p>
      <w:pPr>
        <w:pStyle w:val="null3"/>
        <w:ind w:firstLine="480"/>
        <w:jc w:val="both"/>
      </w:pPr>
      <w:r>
        <w:rPr>
          <w:sz w:val="24"/>
        </w:rPr>
        <w:t>2.本合同一式份，具有同等法律效力。甲方执</w:t>
      </w:r>
      <w:r>
        <w:rPr>
          <w:u w:val="single"/>
        </w:rPr>
        <w:t xml:space="preserve">  </w:t>
      </w:r>
      <w:r>
        <w:rPr>
          <w:sz w:val="24"/>
        </w:rPr>
        <w:t>份、乙方执</w:t>
      </w:r>
      <w:r>
        <w:rPr>
          <w:u w:val="single"/>
        </w:rPr>
        <w:t xml:space="preserve">  </w:t>
      </w:r>
      <w:r>
        <w:rPr>
          <w:sz w:val="24"/>
        </w:rPr>
        <w:t>份、招标代理机构执</w:t>
      </w:r>
      <w:r>
        <w:rPr>
          <w:sz w:val="24"/>
          <w:u w:val="single"/>
        </w:rPr>
        <w:t>壹</w:t>
      </w:r>
      <w:r>
        <w:rPr>
          <w:sz w:val="24"/>
        </w:rPr>
        <w:t>份。协议未尽事宜，可用补充协议的形式加以补充。补充协议与本协议具有同样的法律效力。</w:t>
      </w:r>
    </w:p>
    <w:p>
      <w:pPr>
        <w:pStyle w:val="null3"/>
        <w:ind w:firstLine="480"/>
        <w:jc w:val="both"/>
      </w:pPr>
      <w:r>
        <w:rPr>
          <w:sz w:val="24"/>
        </w:rPr>
        <w:t>（以下为签署页）</w:t>
      </w:r>
    </w:p>
    <w:p>
      <w:pPr>
        <w:pStyle w:val="null3"/>
        <w:jc w:val="both"/>
      </w:pPr>
      <w:r>
        <w:rPr/>
        <w:t xml:space="preserve"> </w:t>
      </w:r>
    </w:p>
    <w:p>
      <w:pPr>
        <w:pStyle w:val="null3"/>
        <w:ind w:firstLine="480"/>
        <w:jc w:val="both"/>
      </w:pPr>
      <w:r>
        <w:rPr>
          <w:sz w:val="24"/>
        </w:rPr>
        <w:t>甲方（盖章）：</w:t>
      </w:r>
      <w:r>
        <w:rPr>
          <w:sz w:val="24"/>
        </w:rPr>
        <w:t xml:space="preserve">                      </w:t>
      </w:r>
      <w:r>
        <w:rPr>
          <w:sz w:val="24"/>
        </w:rPr>
        <w:t>乙方（盖章）：</w:t>
      </w:r>
    </w:p>
    <w:p>
      <w:pPr>
        <w:pStyle w:val="null3"/>
        <w:ind w:firstLine="480"/>
        <w:jc w:val="both"/>
      </w:pPr>
      <w:r>
        <w:rPr>
          <w:sz w:val="24"/>
        </w:rPr>
        <w:t>法定代表人或委托代理人</w:t>
      </w:r>
      <w:r>
        <w:rPr>
          <w:sz w:val="24"/>
        </w:rPr>
        <w:t xml:space="preserve">              </w:t>
      </w:r>
      <w:r>
        <w:rPr>
          <w:sz w:val="24"/>
        </w:rPr>
        <w:t>法定代表人或委托代理人</w:t>
      </w:r>
    </w:p>
    <w:p>
      <w:pPr>
        <w:pStyle w:val="null3"/>
        <w:ind w:firstLine="480"/>
        <w:jc w:val="both"/>
      </w:pPr>
      <w:r>
        <w:rPr>
          <w:sz w:val="24"/>
        </w:rPr>
        <w:t>（签字）：</w:t>
      </w:r>
      <w:r>
        <w:rPr>
          <w:sz w:val="24"/>
        </w:rPr>
        <w:t xml:space="preserve">                         </w:t>
      </w:r>
      <w:r>
        <w:rPr>
          <w:sz w:val="24"/>
        </w:rPr>
        <w:t>（签字）：</w:t>
      </w:r>
    </w:p>
    <w:p>
      <w:pPr>
        <w:pStyle w:val="null3"/>
        <w:ind w:firstLine="480"/>
        <w:jc w:val="both"/>
      </w:pPr>
      <w:r>
        <w:rPr>
          <w:sz w:val="24"/>
        </w:rPr>
        <w:t xml:space="preserve">                                    </w:t>
      </w:r>
      <w:r>
        <w:rPr>
          <w:sz w:val="24"/>
        </w:rPr>
        <w:t>开户银行：</w:t>
      </w:r>
    </w:p>
    <w:p>
      <w:pPr>
        <w:pStyle w:val="null3"/>
        <w:ind w:firstLine="480"/>
        <w:jc w:val="both"/>
      </w:pPr>
      <w:r>
        <w:rPr>
          <w:sz w:val="24"/>
        </w:rPr>
        <w:t xml:space="preserve">                                    </w:t>
      </w:r>
      <w:r>
        <w:rPr>
          <w:sz w:val="24"/>
        </w:rPr>
        <w:t>账号：</w:t>
      </w:r>
    </w:p>
    <w:p>
      <w:pPr>
        <w:pStyle w:val="null3"/>
        <w:ind w:firstLine="480"/>
        <w:jc w:val="both"/>
      </w:pP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ind w:firstLine="480"/>
        <w:jc w:val="both"/>
      </w:pPr>
      <w:r>
        <w:rPr>
          <w:sz w:val="24"/>
        </w:rPr>
        <w:t>签约地点：广州市越秀区</w:t>
      </w:r>
    </w:p>
    <w:p>
      <w:pPr>
        <w:pStyle w:val="null3"/>
        <w:jc w:val="center"/>
      </w:pPr>
      <w:r>
        <w:rPr/>
        <w:t xml:space="preserve"> </w:t>
      </w:r>
    </w:p>
    <w:p>
      <w:pPr>
        <w:pStyle w:val="null3"/>
      </w:pPr>
      <w:r>
        <w:rPr/>
        <w:t xml:space="preserve">  </w:t>
      </w:r>
    </w:p>
    <w:p>
      <w:pPr>
        <w:pStyle w:val="null3"/>
      </w:pPr>
      <w:r>
        <w:rPr>
          <w:sz w:val="21"/>
          <w:b/>
        </w:rPr>
        <w:t>附件</w:t>
      </w:r>
    </w:p>
    <w:p>
      <w:pPr>
        <w:pStyle w:val="null3"/>
        <w:jc w:val="center"/>
      </w:pPr>
      <w:r>
        <w:rPr>
          <w:sz w:val="24"/>
          <w:b/>
        </w:rPr>
        <w:t>信息保护及数据安全责任</w:t>
      </w:r>
    </w:p>
    <w:p>
      <w:pPr>
        <w:pStyle w:val="null3"/>
        <w:ind w:firstLine="480"/>
      </w:pPr>
      <w:r>
        <w:rPr>
          <w:sz w:val="24"/>
        </w:rPr>
        <w:t>1</w:t>
      </w:r>
      <w:r>
        <w:rPr>
          <w:sz w:val="24"/>
        </w:rPr>
        <w:t>、甲乙双方深知个人信息等受监管数据全力安全保护的重要性，各方应当按照法律法规、相关标准等规定，采取相应的安全保护措施保护及处理受检者的个人信息及受监管的数据。一方因履行本协议之目的交付、传输给另一方的个人信息、数据等，接收方及其工作人员应按法律法规的要求进行保护及处理。否则，违规方应承担因此导致的受检者个人信息泄露产生的相关责任及损失，造成另一方损失的，应赔偿另一方损失。</w:t>
      </w:r>
    </w:p>
    <w:p>
      <w:pPr>
        <w:pStyle w:val="null3"/>
        <w:ind w:firstLine="480"/>
      </w:pPr>
      <w:r>
        <w:rPr>
          <w:sz w:val="24"/>
        </w:rPr>
        <w:t>2</w:t>
      </w:r>
      <w:r>
        <w:rPr>
          <w:sz w:val="24"/>
        </w:rPr>
        <w:t>、甲方应当按照《数据安全法》《个人信息保护法》《人类遗传资源管理条例》等法律法规的规定，履行向受检者的告知及取得受检者的同意义务，并应当依法依规保护受检者的个人信息，提供给乙方的受检者信息应进行匿名化处理或依法取得受检者同意，同意乙方按本协议约定之目的合法使用处理个人信息。若乙方需要履行其他向受检者告知及取得同意义务的，甲方应当予以协助。乙方若涉及处理个人信息的，应进行相应信息安全措施</w:t>
      </w:r>
      <w:r>
        <w:rPr>
          <w:sz w:val="24"/>
        </w:rPr>
        <w:t>,</w:t>
      </w:r>
      <w:r>
        <w:rPr>
          <w:sz w:val="24"/>
        </w:rPr>
        <w:t>并依法承担受检者信息安全保护的责任及义务。</w:t>
      </w:r>
    </w:p>
    <w:p>
      <w:pPr>
        <w:pStyle w:val="null3"/>
        <w:ind w:firstLine="480"/>
      </w:pPr>
      <w:r>
        <w:rPr>
          <w:sz w:val="24"/>
        </w:rPr>
        <w:t>3</w:t>
      </w:r>
      <w:r>
        <w:rPr>
          <w:sz w:val="24"/>
        </w:rPr>
        <w:t>、乙方及相关服务方，可以为了履行协议之目的存储或以其他方式处理甲方、甲方人员和业务联络信息，例如姓名、办公电话、地址、邮箱和用户</w:t>
      </w:r>
      <w:r>
        <w:rPr>
          <w:sz w:val="24"/>
        </w:rPr>
        <w:t>ID</w:t>
      </w:r>
      <w:r>
        <w:rPr>
          <w:sz w:val="24"/>
        </w:rPr>
        <w:t>。如就前述处理需通知个人或取得其同意之必要，甲方将通知并取得该个人之同意。</w:t>
      </w:r>
    </w:p>
    <w:p>
      <w:pPr>
        <w:pStyle w:val="null3"/>
        <w:ind w:firstLine="480"/>
      </w:pPr>
      <w:r>
        <w:rPr>
          <w:sz w:val="24"/>
        </w:rPr>
        <w:t>4</w:t>
      </w:r>
      <w:r>
        <w:rPr>
          <w:sz w:val="24"/>
        </w:rPr>
        <w:t>、履行协议期间，一方从另一方知悉的关于另一方的未公开的经营信息或检验技术信息、受检者个人信息及医疗信息数据等一切非公开的信息负有保密义务及合法处理义务。如应国家行政机关要求提供保密资料，或双方对任何与本协议相关的仲裁、诉讼、鉴定及指控等表达诉求、进行答复、抗辩时，可使用保密资料，不视为违约。</w:t>
      </w:r>
    </w:p>
    <w:p>
      <w:pPr>
        <w:pStyle w:val="null3"/>
        <w:ind w:firstLine="480"/>
        <w:jc w:val="both"/>
      </w:pPr>
      <w:r>
        <w:rPr>
          <w:sz w:val="24"/>
        </w:rPr>
        <w:t>5</w:t>
      </w:r>
      <w:r>
        <w:rPr>
          <w:sz w:val="24"/>
        </w:rPr>
        <w:t>、双方应按照法律规定、监管要求以及相应国家或行业标准，采取必要的技术措施和管理措施，以确保本协议履约过程中所产生的数据安全，防止数据遭到篡改、破坏、泄露、非法获取或非法利用。</w:t>
      </w:r>
    </w:p>
    <w:p>
      <w:pPr>
        <w:pStyle w:val="null3"/>
        <w:ind w:firstLine="480"/>
        <w:jc w:val="both"/>
      </w:pPr>
      <w:r>
        <w:rPr>
          <w:sz w:val="24"/>
        </w:rPr>
        <w:t>6</w:t>
      </w:r>
      <w:r>
        <w:rPr>
          <w:sz w:val="24"/>
        </w:rPr>
        <w:t>、如任意一方未按照法律规定或本合同的约定处理数据，或未能有效履行数据安全保护义务，则另一方有权要求违约方立即停止违约或违法行为、采取有效补救措施控制或消除数据面临的安全风险，并有权立即解除本合同。</w:t>
      </w:r>
    </w:p>
    <w:p>
      <w:pPr>
        <w:pStyle w:val="null3"/>
        <w:ind w:firstLine="480"/>
        <w:jc w:val="both"/>
      </w:pPr>
      <w:r>
        <w:rPr>
          <w:sz w:val="24"/>
        </w:rPr>
        <w:t>7</w:t>
      </w:r>
      <w:r>
        <w:rPr>
          <w:sz w:val="24"/>
        </w:rPr>
        <w:t>、任何一方有违反上述保密责任的，应赔偿守约方全部损失，该损失包括但不限于对守约方所造成的直接损失、可得利益损失、守约方支付给第三方的赔偿费用</w:t>
      </w:r>
      <w:r>
        <w:rPr>
          <w:sz w:val="24"/>
        </w:rPr>
        <w:t>/</w:t>
      </w:r>
      <w:r>
        <w:rPr>
          <w:sz w:val="24"/>
        </w:rPr>
        <w:t>违约金</w:t>
      </w:r>
      <w:r>
        <w:rPr>
          <w:sz w:val="24"/>
        </w:rPr>
        <w:t>/</w:t>
      </w:r>
      <w:r>
        <w:rPr>
          <w:sz w:val="24"/>
        </w:rPr>
        <w:t>罚款、调查取证费用</w:t>
      </w:r>
      <w:r>
        <w:rPr>
          <w:sz w:val="24"/>
        </w:rPr>
        <w:t>/</w:t>
      </w:r>
      <w:r>
        <w:rPr>
          <w:sz w:val="24"/>
        </w:rPr>
        <w:t>公证费、诉讼费用、律师费用以及因此而支付的其他合理费用。</w:t>
      </w:r>
    </w:p>
    <w:p>
      <w:pPr>
        <w:pStyle w:val="null3"/>
      </w:pPr>
      <w:r>
        <w:rPr>
          <w:sz w:val="24"/>
        </w:rPr>
        <w:t xml:space="preserve"> </w:t>
      </w:r>
      <w:r>
        <w:rPr>
          <w:sz w:val="24"/>
        </w:rPr>
        <w:t>甲方（盖章）：</w:t>
      </w:r>
      <w:r>
        <w:rPr>
          <w:sz w:val="24"/>
        </w:rPr>
        <w:t xml:space="preserve">                            </w:t>
      </w:r>
      <w:r>
        <w:rPr>
          <w:sz w:val="24"/>
        </w:rPr>
        <w:t>乙方（盖章）：</w:t>
      </w:r>
    </w:p>
    <w:p>
      <w:pPr>
        <w:pStyle w:val="null3"/>
        <w:spacing w:before="345" w:after="315"/>
        <w:jc w:val="center"/>
        <w:outlineLvl w:val="0"/>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440101-2025-16350</w:t>
      </w:r>
    </w:p>
    <w:p>
      <w:pPr>
        <w:pStyle w:val="null3"/>
        <w:jc w:val="center"/>
        <w:outlineLvl w:val="3"/>
      </w:pPr>
      <w:r>
        <w:rPr>
          <w:sz w:val="24"/>
          <w:b/>
        </w:rPr>
        <w:t>采购项目编号：</w:t>
      </w:r>
      <w:r>
        <w:rPr>
          <w:sz w:val="24"/>
          <w:b/>
        </w:rPr>
        <w:t>3587-2512GZG30904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广州医科大学附属肿瘤医院肿瘤高发六癌基因甲基化检测项目(二次)</w:t>
      </w:r>
      <w:r>
        <w:rPr>
          <w:u w:val="single"/>
        </w:rPr>
        <w:t>”</w:t>
      </w:r>
      <w:r>
        <w:rPr/>
        <w:t>项目的招标[采购项目编号为：</w:t>
      </w:r>
      <w:r>
        <w:rPr>
          <w:u w:val="single"/>
        </w:rPr>
        <w:t>3587-2512GZG30904</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广州医科大学附属肿瘤医院肿瘤高发六癌基因甲基化检测项目(二次)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广州医科大学附属肿瘤医院肿瘤高发六癌基因甲基化检测项目(二次)</w:t>
      </w:r>
      <w:r>
        <w:rPr/>
        <w:t>”项目采购[采购项目编号为</w:t>
      </w:r>
      <w:r>
        <w:rPr/>
        <w:t>3587-2512GZG30904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广州医科大学附属肿瘤医院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广州医科大学附属肿瘤医院肿瘤高发六癌基因甲基化检测项目(二次)</w:t>
      </w:r>
      <w:r>
        <w:rPr/>
        <w:t>招标中获中标（采购项目编号：</w:t>
      </w:r>
      <w:r>
        <w:rPr/>
        <w:t>3587-2512GZG30904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