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440605-2025-06313</w:t>
      </w:r>
    </w:p>
    <w:p>
      <w:pPr>
        <w:pStyle w:val="null3"/>
        <w:jc w:val="center"/>
        <w:outlineLvl w:val="3"/>
      </w:pPr>
      <w:r>
        <w:rPr>
          <w:sz w:val="24"/>
          <w:b/>
        </w:rPr>
        <w:t>采购项目编号：</w:t>
      </w:r>
      <w:r>
        <w:rPr>
          <w:sz w:val="24"/>
          <w:b/>
        </w:rPr>
        <w:t>沥采2025033</w:t>
      </w:r>
    </w:p>
    <w:p>
      <w:pPr>
        <w:pStyle w:val="null3"/>
        <w:jc w:val="center"/>
        <w:outlineLvl w:val="3"/>
      </w:pPr>
      <w:r>
        <w:rPr>
          <w:sz w:val="24"/>
          <w:b/>
        </w:rPr>
        <w:t>项目名称：</w:t>
      </w:r>
      <w:r>
        <w:rPr>
          <w:sz w:val="24"/>
          <w:b/>
        </w:rPr>
        <w:t>医疗业务智能协同服务平台</w:t>
      </w:r>
    </w:p>
    <w:p>
      <w:pPr>
        <w:pStyle w:val="null3"/>
        <w:jc w:val="center"/>
        <w:outlineLvl w:val="3"/>
      </w:pPr>
      <w:r>
        <w:rPr>
          <w:sz w:val="24"/>
          <w:b/>
        </w:rPr>
        <w:t>采购人：</w:t>
      </w:r>
      <w:r>
        <w:rPr>
          <w:sz w:val="24"/>
          <w:b/>
        </w:rPr>
        <w:t>佛山市南海区第五人民医院</w:t>
      </w:r>
    </w:p>
    <w:p>
      <w:pPr>
        <w:pStyle w:val="null3"/>
        <w:jc w:val="center"/>
        <w:outlineLvl w:val="3"/>
      </w:pPr>
      <w:r>
        <w:rPr>
          <w:sz w:val="24"/>
          <w:b/>
        </w:rPr>
        <w:t>采购代理机构：</w:t>
      </w:r>
      <w:r>
        <w:rPr>
          <w:sz w:val="24"/>
          <w:b/>
        </w:rPr>
        <w:t>广东信诚招标代理咨询有限公司佛山分公司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广东信诚招标代理咨询有限公司佛山分公司</w:t>
      </w:r>
      <w:r>
        <w:rPr/>
        <w:t>受</w:t>
      </w:r>
      <w:r>
        <w:rPr/>
        <w:t>佛山市南海区第五人民医院</w:t>
      </w:r>
      <w:r>
        <w:rPr/>
        <w:t>的委托，采用</w:t>
      </w:r>
      <w:r>
        <w:rPr/>
        <w:t>公开招标</w:t>
      </w:r>
      <w:r>
        <w:rPr/>
        <w:t>方式组织采购</w:t>
      </w:r>
      <w:r>
        <w:rPr/>
        <w:t>医疗业务智能协同服务平台</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医疗业务智能协同服务平台</w:t>
      </w:r>
    </w:p>
    <w:p>
      <w:pPr>
        <w:pStyle w:val="null3"/>
        <w:ind w:firstLine="480"/>
      </w:pPr>
      <w:r>
        <w:rPr/>
        <w:t>采购计划编号：</w:t>
      </w:r>
      <w:r>
        <w:rPr/>
        <w:t>440605-2025-06313</w:t>
      </w:r>
    </w:p>
    <w:p>
      <w:pPr>
        <w:pStyle w:val="null3"/>
        <w:ind w:firstLine="480"/>
      </w:pPr>
      <w:r>
        <w:rPr/>
        <w:t>采购项目编号：</w:t>
      </w:r>
      <w:r>
        <w:rPr/>
        <w:t>沥采2025033</w:t>
      </w:r>
    </w:p>
    <w:p>
      <w:pPr>
        <w:pStyle w:val="null3"/>
        <w:ind w:firstLine="480"/>
      </w:pPr>
      <w:r>
        <w:rPr/>
        <w:t>采购方式：</w:t>
      </w:r>
      <w:r>
        <w:rPr/>
        <w:t>公开招标</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采购包1(医疗业务智能协同服务平台):</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医疗业务智能协同服务平台</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合同履行期限：合同签订后90个工作日内系统开发部署完毕，并交付使用。系统正式上线试运行一个月后进行项目初步验收。运维服务期自初步验收合格之日起一年。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1）具有独立承担民事责任的能力：在中华人民共和国境内注册的法人或其他组织或自然人，投标（响应）时提交有效的营业执照（或事业法人登记证或身份证等相关证明）副本扫描件；</w:t>
      </w:r>
    </w:p>
    <w:p>
      <w:pPr>
        <w:pStyle w:val="null3"/>
      </w:pPr>
      <w:r>
        <w:rPr/>
        <w:t>2）有依法缴纳税收和社会保障资金的良好记录：投标人提供加盖投标人公章的《政府采购供应商资格信用承诺函》（详见招标公告附件）或提供以下资料：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投标人提供加盖投标人公章的《政府采购供应商资格信用承诺函》（详见招标公告附件）或提供以下资料：提供2024年度经审计的财务状况报告或基本开户行出具的资信证明或财政部门认可的政府采购专业担保机构出具的担保函,成立不足一年的单位可以提供投标截止前上一季度或月份财务会计报表；</w:t>
      </w:r>
    </w:p>
    <w:p>
      <w:pPr>
        <w:pStyle w:val="null3"/>
      </w:pPr>
      <w:r>
        <w:rPr/>
        <w:t>4）履行合同所必需的设备和专业技术能力：按投标文件格式填报设备及专业技术能力情况；</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认定为200万元以上的罚款，法律、行政法规以及国务院有关部门明确规定相关领域“较大数额罚款”标准高于200万元的，从其规定。）；6）法律、行政法规规定的其他条件。</w:t>
      </w:r>
    </w:p>
    <w:p>
      <w:pPr>
        <w:pStyle w:val="null3"/>
        <w:outlineLvl w:val="3"/>
      </w:pPr>
      <w:r>
        <w:rPr>
          <w:sz w:val="24"/>
          <w:b/>
        </w:rPr>
        <w:t>2.落实政府采购政策需满足的资格要求：</w:t>
      </w:r>
    </w:p>
    <w:p>
      <w:pPr>
        <w:pStyle w:val="null3"/>
        <w:jc w:val="left"/>
      </w:pPr>
      <w:r>
        <w:rPr/>
        <w:t>采购包1（医疗业务智能协同服务平台）：</w:t>
      </w:r>
      <w:r>
        <w:rPr/>
        <w:t>本项目属于专门面向中小企业采购，中小企业以供应商填写的《中小企业声明函(工程、服务)》（见招标文件格式）为判定标准，残疾人福利性单位以供应商提供的《残疾人福利性单位声明函》(见招标文件格式)为判定标准，监狱企业须供应商提供由省级以上监狱管理局、戒毒管理局(含新疆生产建设兵团)出具的属于监狱企业的证明文件。本项目的中小企业划分标准所属行业为：软件和信息技术服务业。</w:t>
      </w:r>
    </w:p>
    <w:p>
      <w:pPr>
        <w:pStyle w:val="null3"/>
        <w:outlineLvl w:val="3"/>
      </w:pPr>
      <w:r>
        <w:rPr>
          <w:sz w:val="24"/>
          <w:b/>
        </w:rPr>
        <w:t>3.本项目特定的资格要求：</w:t>
      </w:r>
    </w:p>
    <w:p>
      <w:pPr>
        <w:pStyle w:val="null3"/>
      </w:pPr>
      <w:r>
        <w:rPr/>
        <w:t>采购包1（医疗业务智能协同服务平台）：</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投标。为本项目提供整体设计、规范编制或者项目管理、监理、检测等服务的供应商，不得再参与本项目投标（参照投标函相关承诺格式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广东省公共资源交易平台（https://ygp.gdzwfw.gov.cn/ggzy-portal/#/440600/index），佛山市南海区人民政府网（http://www.nanhai.gov.cn/），广东信诚招标代理咨询有限公司（http://www.gdxczb.cn/）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佛山市南海区第五人民医院</w:t>
      </w:r>
    </w:p>
    <w:p>
      <w:pPr>
        <w:pStyle w:val="null3"/>
        <w:ind w:firstLine="480"/>
      </w:pPr>
      <w:r>
        <w:rPr/>
        <w:t xml:space="preserve"> 地址：</w:t>
      </w:r>
      <w:r>
        <w:rPr/>
        <w:t>佛山市南海区大沥镇钟边路63号</w:t>
      </w:r>
    </w:p>
    <w:p>
      <w:pPr>
        <w:pStyle w:val="null3"/>
        <w:ind w:firstLine="480"/>
      </w:pPr>
      <w:r>
        <w:rPr/>
        <w:t xml:space="preserve"> 联系方式：</w:t>
      </w:r>
      <w:r>
        <w:rPr/>
        <w:t>0757-85919986</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广东信诚招标代理咨询有限公司佛山分公司</w:t>
      </w:r>
    </w:p>
    <w:p>
      <w:pPr>
        <w:pStyle w:val="null3"/>
        <w:ind w:firstLine="480"/>
      </w:pPr>
      <w:r>
        <w:rPr/>
        <w:t xml:space="preserve"> 地址：</w:t>
      </w:r>
      <w:r>
        <w:rPr/>
        <w:t>广东省佛山市南海区大沥镇广佛公路平地段38号万成广场A座2008室</w:t>
      </w:r>
    </w:p>
    <w:p>
      <w:pPr>
        <w:pStyle w:val="null3"/>
        <w:ind w:firstLine="480"/>
      </w:pPr>
      <w:r>
        <w:rPr/>
        <w:t xml:space="preserve"> 联系方式：</w:t>
      </w:r>
      <w:r>
        <w:rPr/>
        <w:t>0757-85753190</w:t>
      </w:r>
    </w:p>
    <w:p>
      <w:pPr>
        <w:pStyle w:val="null3"/>
        <w:outlineLvl w:val="3"/>
      </w:pPr>
      <w:r>
        <w:rPr>
          <w:sz w:val="24"/>
          <w:b/>
        </w:rPr>
        <w:t xml:space="preserve"> 3.项目联系方式</w:t>
      </w:r>
    </w:p>
    <w:p>
      <w:pPr>
        <w:pStyle w:val="null3"/>
        <w:ind w:firstLine="480"/>
      </w:pPr>
      <w:r>
        <w:rPr/>
        <w:t xml:space="preserve"> 项目联系人：</w:t>
      </w:r>
      <w:r>
        <w:rPr/>
        <w:t>蔡先生</w:t>
      </w:r>
    </w:p>
    <w:p>
      <w:pPr>
        <w:pStyle w:val="null3"/>
        <w:ind w:firstLine="480"/>
      </w:pPr>
      <w:r>
        <w:rPr/>
        <w:t xml:space="preserve"> 电话：</w:t>
      </w:r>
      <w:r>
        <w:rPr/>
        <w:t>0757-85753190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广东信诚招标代理咨询有限公司佛山分公司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1、采购内容</w:t>
      </w:r>
    </w:p>
    <w:tbl>
      <w:tblPr>
        <w:tblW w:w="0" w:type="auto"/>
        <w:tblBorders>
          <w:top w:val="none" w:color="000000" w:sz="4"/>
          <w:left w:val="none" w:color="000000" w:sz="4"/>
          <w:bottom w:val="none" w:color="000000" w:sz="4"/>
          <w:right w:val="none" w:color="000000" w:sz="4"/>
          <w:insideH w:val="none"/>
          <w:insideV w:val="none"/>
        </w:tblBorders>
      </w:tblPr>
      <w:tblGrid>
        <w:gridCol w:w="2076"/>
        <w:gridCol w:w="888"/>
        <w:gridCol w:w="2031"/>
        <w:gridCol w:w="3310"/>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预算金额（人民币：元）</w:t>
            </w:r>
          </w:p>
        </w:tc>
        <w:tc>
          <w:tcPr>
            <w:tcW w:type="dxa" w:w="3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医疗业务智能协同服务平台</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1,800,000.00元</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合同签订后90个工作日内</w:t>
            </w:r>
            <w:r>
              <w:rPr>
                <w:sz w:val="21"/>
              </w:rPr>
              <w:t>系统开发部署完毕，并交付使用</w:t>
            </w:r>
            <w:r>
              <w:rPr>
                <w:sz w:val="21"/>
              </w:rPr>
              <w:t>。</w:t>
            </w:r>
            <w:r>
              <w:rPr>
                <w:sz w:val="21"/>
              </w:rPr>
              <w:t>系统正式上线试运行一个月后进行项目初步验收。运维服务期自初步验收合格之日起一年。</w:t>
            </w:r>
          </w:p>
        </w:tc>
      </w:tr>
    </w:tbl>
    <w:p>
      <w:pPr>
        <w:pStyle w:val="null3"/>
      </w:pPr>
      <w:r>
        <w:rPr>
          <w:sz w:val="24"/>
        </w:rPr>
        <w:t>2、采购项目说明</w:t>
      </w:r>
    </w:p>
    <w:p>
      <w:pPr>
        <w:pStyle w:val="null3"/>
        <w:jc w:val="both"/>
      </w:pPr>
      <w:r>
        <w:rPr>
          <w:sz w:val="24"/>
        </w:rPr>
        <w:t>（1）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pPr>
      <w:r>
        <w:rPr/>
        <w:t>采购包1（医疗业务智能协同服务平台）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★合同签订后90个工作日内系统开发部署完毕，并交付使用。系统正式上线试运行一个月后进行项目初步验收。运维服务期自初步验收合格之日起一年。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1期：支付比例30%,★双方合同签订后，中标供应商进场并向采购人提供进场人员明细表，采购人审核后向中标供应商支付合同金额的30%作为预付款。</w:t>
            </w:r>
          </w:p>
          <w:p>
            <w:pPr>
              <w:pStyle w:val="null3"/>
            </w:pPr>
            <w:r>
              <w:rPr/>
              <w:t>2期：支付比例20%,★中标供应商交付系统对应文档和源代码，采购人审核后向中标供应商支付合同金额的20%。</w:t>
            </w:r>
          </w:p>
          <w:p>
            <w:pPr>
              <w:pStyle w:val="null3"/>
            </w:pPr>
            <w:r>
              <w:rPr/>
              <w:t>3期：支付比例45%,★系统正式上线试运行一个月后进行项目初步验收，初步验收合格后中标供应商向采购人提供试运行申请单、初步验收报告，采购人审核后向中标供应商支付合同金额的45%。</w:t>
            </w:r>
          </w:p>
          <w:p>
            <w:pPr>
              <w:pStyle w:val="null3"/>
            </w:pPr>
            <w:r>
              <w:rPr/>
              <w:t>4期：支付比例5%,★系统运维服务期结束后，中标供应商向采购人提供运维服务质量考核表和最终验收报告，采购人审核后向中标供应商支付合同金额的5%。★注：付款要求：本项目合同的每笔款项以人民币支票或银行汇款方式支付，根据项目的完成情况，采购人按上述节点支付对应款项。采购人每次付款前，中标供应商必须出具合规的等额增值税发票等凭证资料。如发生考核扣罚或违约金，采购人有权在上述支付款项中扣除相应金额后再支付。收款方、出具发票方、合同乙方均必须与中标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对招标文件的需求及中标人投标文件的需求响应进行逐一验证，由采购人经过实测和试用，确认满足了招标文件的需求及中标人投标文件的需求内容后，按如下2个阶段进行验收：1.中标供应商向采购人交付完整的源代码和技术文档，试运行1个月后进行项目初步验收，根据系统试运行的要求作为初步验收的标准，初步验收合格后中标供应商向采购人提供试运行申请单、初步验收报告。2.项目初步验收合格后进入运维服务期，运维服务期1年，采购人每半年对中标供应商进行运维服务质量考核，考核合格后进行最终验收，根据运维服务期质量考核表的考核情况作为最终验收的标准，中标供应商向采购人提供运维服务质量考核表和最终验收报告。 项目验收依次序对照执行标准： ①符合中华人民共和国国家和履约地相关安全质量标准、行业技术规范标准。②符合招标文件和投标承诺中采购人认可的合理最佳配置及各项要求。③双方约定的其他验收标准。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费用承担</w:t>
            </w:r>
          </w:p>
        </w:tc>
        <w:tc>
          <w:tcPr>
            <w:tcW w:type="dxa" w:w="2076"/>
          </w:tcPr>
          <w:p>
            <w:pPr>
              <w:pStyle w:val="null3"/>
              <w:jc w:val="left"/>
            </w:pPr>
            <w:r>
              <w:rPr/>
              <w:t>1.1投标人的报价不得高于本项目预算金额，否则视为无效投标。 1.2 本项目实行总价包干（费用包含在投标总价内）。 1.3本项目投标报价必须包含但不限于人员施工费用、与第三方系统对接需要支出的接口费，所有的税费、合同实施过程中的应预见和不可预见费用等。投标人在投标文件的报价须包含完成该项目发生的全部费用。如果投标人在中标并签署合同后，在服务期内出现的任何遗漏，均由投标人负责，采购人将不再支付任何费用。 1.4项目合同金额应包含采购项目的全部费用，在合同期限内，项目服务费不以任何理由而增加。中标供应商必须根据企业自身的成本核算情况，充分考虑服务期内物价水平、服务人员薪金的波动风险。一经投标，即认为中标供应商已充分考虑有关风险，愿意承担因这些风险所造成的一切经济损失，并放弃因此造成的损失求偿权。中标后，采购人按中标价支付费用，并在服务期内对中标价不作任何的调整。</w:t>
            </w:r>
          </w:p>
        </w:tc>
      </w:tr>
      <w:tr>
        <w:tc>
          <w:tcPr>
            <w:tcW w:type="dxa" w:w="2076"/>
          </w:tcPr>
          <w:p/>
        </w:tc>
        <w:tc>
          <w:tcPr>
            <w:tcW w:type="dxa" w:w="2076"/>
          </w:tcPr>
          <w:p>
            <w:pPr>
              <w:pStyle w:val="null3"/>
              <w:jc w:val="center"/>
            </w:pPr>
            <w:r>
              <w:rPr/>
              <w:t>2</w:t>
            </w:r>
          </w:p>
        </w:tc>
        <w:tc>
          <w:tcPr>
            <w:tcW w:type="dxa" w:w="2076"/>
          </w:tcPr>
          <w:p>
            <w:pPr>
              <w:pStyle w:val="null3"/>
              <w:jc w:val="left"/>
            </w:pPr>
            <w:r>
              <w:rPr/>
              <w:t>试运行</w:t>
            </w:r>
          </w:p>
        </w:tc>
        <w:tc>
          <w:tcPr>
            <w:tcW w:type="dxa" w:w="2076"/>
          </w:tcPr>
          <w:p>
            <w:pPr>
              <w:pStyle w:val="null3"/>
              <w:jc w:val="left"/>
            </w:pPr>
            <w:r>
              <w:rPr/>
              <w:t>2.1试运行期自系统完成部署并交付使用正式上线之日起1个月。试运行期内，系统出现的所有问题，中标供应商须及时解决、调整并做好记录，此记录将作为初步验收的依据之一。试运行期结束，如系统没有发生较大问题(不影响系统使用)，视为初步验收合格;如系统仍有较大问题(影响系统正常使用)未解决，采购人有权终止合同，并要求中标供应商赔偿损失。</w:t>
            </w:r>
          </w:p>
        </w:tc>
      </w:tr>
      <w:tr>
        <w:tc>
          <w:tcPr>
            <w:tcW w:type="dxa" w:w="2076"/>
          </w:tcPr>
          <w:p/>
        </w:tc>
        <w:tc>
          <w:tcPr>
            <w:tcW w:type="dxa" w:w="2076"/>
          </w:tcPr>
          <w:p>
            <w:pPr>
              <w:pStyle w:val="null3"/>
              <w:jc w:val="center"/>
            </w:pPr>
            <w:r>
              <w:rPr/>
              <w:t>3</w:t>
            </w:r>
          </w:p>
        </w:tc>
        <w:tc>
          <w:tcPr>
            <w:tcW w:type="dxa" w:w="2076"/>
          </w:tcPr>
          <w:p>
            <w:pPr>
              <w:pStyle w:val="null3"/>
              <w:jc w:val="left"/>
            </w:pPr>
            <w:r>
              <w:rPr/>
              <w:t>运维服务要求</w:t>
            </w:r>
          </w:p>
        </w:tc>
        <w:tc>
          <w:tcPr>
            <w:tcW w:type="dxa" w:w="2076"/>
          </w:tcPr>
          <w:p>
            <w:pPr>
              <w:pStyle w:val="null3"/>
              <w:jc w:val="left"/>
            </w:pPr>
            <w:r>
              <w:rPr/>
              <w:t>3.1运维服务期： 自初步验收合格之日起一年。 3.2服务响应时间： 运维服务期内对采购人的服务通知，中标供应商在接报后1小时内响应，重大故障4小时内到达现场，一般故障处理时间不超过4小时，重大故障处理不超过12小时。 3.3运维服务：每6个月提供一次上门运维巡检服务，巡检内容包括对本项目所涉及的系统设备进行巡检，形成巡检报告，保证系统运行正常。3.4技术培训： 提供人员的培训，包括但不限于操作培训、面对面培训和维护培训，并提供对部分采购人操作人员简单故障排除方法的培训。同时提供培训方案，并对相关技术问题进行充分交流，使采购人操作人员能熟练使用系统。</w:t>
            </w:r>
          </w:p>
        </w:tc>
      </w:tr>
      <w:tr>
        <w:tc>
          <w:tcPr>
            <w:tcW w:type="dxa" w:w="2076"/>
          </w:tcPr>
          <w:p/>
        </w:tc>
        <w:tc>
          <w:tcPr>
            <w:tcW w:type="dxa" w:w="2076"/>
          </w:tcPr>
          <w:p>
            <w:pPr>
              <w:pStyle w:val="null3"/>
              <w:jc w:val="center"/>
            </w:pPr>
            <w:r>
              <w:rPr/>
              <w:t>4</w:t>
            </w:r>
          </w:p>
        </w:tc>
        <w:tc>
          <w:tcPr>
            <w:tcW w:type="dxa" w:w="2076"/>
          </w:tcPr>
          <w:p>
            <w:pPr>
              <w:pStyle w:val="null3"/>
              <w:jc w:val="left"/>
            </w:pPr>
            <w:r>
              <w:rPr/>
              <w:t>实施要求</w:t>
            </w:r>
          </w:p>
        </w:tc>
        <w:tc>
          <w:tcPr>
            <w:tcW w:type="dxa" w:w="2076"/>
          </w:tcPr>
          <w:p>
            <w:pPr>
              <w:pStyle w:val="null3"/>
              <w:jc w:val="left"/>
            </w:pPr>
            <w:r>
              <w:rPr/>
              <w:t>4.1联合管理：双方成立研发协调小组，由医院信息科人员担任项目组长，负责日常研发与问题解决。 4.2高效沟通：建立例会机制，包括日例会和周总结会，通过线上线下相结合的方式同步需求内容，所有需求变更均需经过组长确认后方可执行。 4.3深度协调：采购人协调院内系统接口与测试环境，中标供应商保障技术方案。 4.4通过实施“共建共管”的合作模式，确保项目能够按时、高质量地完成系统交付。</w:t>
            </w:r>
          </w:p>
        </w:tc>
      </w:tr>
      <w:tr>
        <w:tc>
          <w:tcPr>
            <w:tcW w:type="dxa" w:w="2076"/>
          </w:tcPr>
          <w:p/>
        </w:tc>
        <w:tc>
          <w:tcPr>
            <w:tcW w:type="dxa" w:w="2076"/>
          </w:tcPr>
          <w:p>
            <w:pPr>
              <w:pStyle w:val="null3"/>
              <w:jc w:val="center"/>
            </w:pPr>
            <w:r>
              <w:rPr/>
              <w:t>5</w:t>
            </w:r>
          </w:p>
        </w:tc>
        <w:tc>
          <w:tcPr>
            <w:tcW w:type="dxa" w:w="2076"/>
          </w:tcPr>
          <w:p>
            <w:pPr>
              <w:pStyle w:val="null3"/>
              <w:jc w:val="left"/>
            </w:pPr>
            <w:r>
              <w:rPr/>
              <w:t>知识产权及交付要求</w:t>
            </w:r>
          </w:p>
        </w:tc>
        <w:tc>
          <w:tcPr>
            <w:tcW w:type="dxa" w:w="2076"/>
          </w:tcPr>
          <w:p>
            <w:pPr>
              <w:pStyle w:val="null3"/>
              <w:jc w:val="left"/>
            </w:pPr>
            <w:r>
              <w:rPr/>
              <w:t>5.1本项目所产出的软件源代码、技术文档等成果知识产权归采购人所有。 5.2项目交付需提供完整的技术文档、接口说明书以及详细部署说明。 5.3中标供应商需签署《知识产权归属协议》 5.4交付内容： （1）软件系统：可执行程序（以小程序形式）+全量源代码； （2）文档：运维手册、二次开发指南、API说明。</w:t>
            </w:r>
          </w:p>
        </w:tc>
      </w:tr>
      <w:tr>
        <w:tc>
          <w:tcPr>
            <w:tcW w:type="dxa" w:w="2076"/>
          </w:tcPr>
          <w:p/>
        </w:tc>
        <w:tc>
          <w:tcPr>
            <w:tcW w:type="dxa" w:w="2076"/>
          </w:tcPr>
          <w:p>
            <w:pPr>
              <w:pStyle w:val="null3"/>
              <w:jc w:val="center"/>
            </w:pPr>
            <w:r>
              <w:rPr/>
              <w:t>6</w:t>
            </w:r>
          </w:p>
        </w:tc>
        <w:tc>
          <w:tcPr>
            <w:tcW w:type="dxa" w:w="2076"/>
          </w:tcPr>
          <w:p>
            <w:pPr>
              <w:pStyle w:val="null3"/>
              <w:jc w:val="left"/>
            </w:pPr>
            <w:r>
              <w:rPr/>
              <w:t>保密条款</w:t>
            </w:r>
          </w:p>
        </w:tc>
        <w:tc>
          <w:tcPr>
            <w:tcW w:type="dxa" w:w="2076"/>
          </w:tcPr>
          <w:p>
            <w:pPr>
              <w:pStyle w:val="null3"/>
              <w:jc w:val="left"/>
            </w:pPr>
            <w:r>
              <w:rPr/>
              <w:t>6.1中标供应商必须如约承担合同履行时所应该尽的一切保密义务。中标商需提供保密承诺函，中标供应商及其参与本项目的所有工作人员均须对采购人信息、项目实施过程中的资料、数据进行保密，未经采购人书面同意不得泄露给第三方，否则，采购人保留追究中标供应商法律责任的权利。保密责任不因合同的中止或解除而失效。 6.2与本项目有关采购人的信息、项目实施过程中的资料、数据等所有资料（包括但不限于文字、图片、声像资料、电子数据等）均属采购人所有，中标供应商及其参与本项目的所有工作人员在本合同有效期内或合同终止后，不得泄露，也不得超越本项目实施范围使用。</w:t>
            </w:r>
          </w:p>
        </w:tc>
      </w:tr>
      <w:tr>
        <w:tc>
          <w:tcPr>
            <w:tcW w:type="dxa" w:w="2076"/>
          </w:tcPr>
          <w:p/>
        </w:tc>
        <w:tc>
          <w:tcPr>
            <w:tcW w:type="dxa" w:w="2076"/>
          </w:tcPr>
          <w:p>
            <w:pPr>
              <w:pStyle w:val="null3"/>
              <w:jc w:val="center"/>
            </w:pPr>
            <w:r>
              <w:rPr/>
              <w:t>7</w:t>
            </w:r>
          </w:p>
        </w:tc>
        <w:tc>
          <w:tcPr>
            <w:tcW w:type="dxa" w:w="2076"/>
          </w:tcPr>
          <w:p>
            <w:pPr>
              <w:pStyle w:val="null3"/>
              <w:jc w:val="left"/>
            </w:pPr>
            <w:r>
              <w:rPr/>
              <w:t>投诉跟踪服务要求</w:t>
            </w:r>
          </w:p>
        </w:tc>
        <w:tc>
          <w:tcPr>
            <w:tcW w:type="dxa" w:w="2076"/>
          </w:tcPr>
          <w:p>
            <w:pPr>
              <w:pStyle w:val="null3"/>
              <w:jc w:val="left"/>
            </w:pPr>
            <w:r>
              <w:rPr/>
              <w:t>7.1中标供应商须提供常设的投诉热线服务，并对投诉内容进行及时跟踪、回访。对采购人的投诉与通知，必须按采购人指定的时间内处理完毕，若特发事件不能在短时间内解决，中标供应商必须采取应急措施，或按采购人认可的应急方案执行，不得影响采购人的正常工作业务。 7.2合同履行期限内，采购人有权按本项目的管理要求对中标供应商进行不定期抽查检查，若对不合格的管理服务提出警告后，仍未得到有效解决时，采购人有权终止采购合同。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医疗业务智能协同服务平台</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医疗业务智能协同服务平台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（一）项目概况</w:t>
            </w:r>
          </w:p>
          <w:p>
            <w:pPr>
              <w:pStyle w:val="null3"/>
              <w:jc w:val="both"/>
            </w:pPr>
            <w:r>
              <w:rPr>
                <w:sz w:val="21"/>
              </w:rPr>
              <w:t>1.佛山大学附属第三医院由佛山市南海区第五人民医院、第六人民医院、第七人民医院三个院区合并而成，共计拥有1620张床位，年门诊量300万人次以上。目前三院区仍使用各自微信公众号为患者提供有限服务，各系统分散、数据互通障碍、患者体验碎片化等问题成为当下亟待解决的问题。由于各院区微信公众号系统独立运营，患者在跨院区就诊时不得不重复注册账户、多次录入信息，导致医疗服务体验不连贯。</w:t>
            </w:r>
          </w:p>
          <w:p>
            <w:pPr>
              <w:pStyle w:val="null3"/>
              <w:jc w:val="both"/>
            </w:pPr>
            <w:r>
              <w:rPr>
                <w:sz w:val="21"/>
              </w:rPr>
              <w:t>2.根据医院实际工作需要，为进一步服务患者，提升患者就医体验，需将医院互联网诊疗与线下服务互通融合，实现线上线下实时交互，为患者提供全方位就医服务体验。逐步提供和完善线上、线下衔接服务功能，中标供应商必须无条件配合采购人完成与院内已有的HIS、LIS、PACS、合理用药等基础业务系统深度对接。</w:t>
            </w:r>
          </w:p>
          <w:p>
            <w:pPr>
              <w:pStyle w:val="null3"/>
              <w:jc w:val="both"/>
            </w:pPr>
            <w:r>
              <w:rPr>
                <w:sz w:val="21"/>
              </w:rPr>
              <w:t>佛山市南海区第五人民医院、第六人民医院、第七人民医院现有系统情况：</w:t>
            </w:r>
          </w:p>
          <w:p>
            <w:pPr>
              <w:pStyle w:val="null3"/>
              <w:jc w:val="both"/>
            </w:pPr>
            <w:r>
              <w:rPr>
                <w:sz w:val="21"/>
              </w:rPr>
              <w:t>（1）佛山市南海区第五人民医院：</w:t>
            </w:r>
          </w:p>
          <w:p>
            <w:pPr>
              <w:pStyle w:val="null3"/>
              <w:jc w:val="both"/>
            </w:pPr>
            <w:r>
              <w:rPr>
                <w:sz w:val="21"/>
              </w:rPr>
              <w:t>1）HIS系统（厂家名称：成都信通网易医疗科技发展有限公司）</w:t>
            </w:r>
          </w:p>
          <w:p>
            <w:pPr>
              <w:pStyle w:val="null3"/>
              <w:jc w:val="both"/>
            </w:pPr>
            <w:r>
              <w:rPr>
                <w:sz w:val="21"/>
              </w:rPr>
              <w:t>2）PACS系统（厂家名称：深圳成电金盘健康数据技术有限公司）</w:t>
            </w:r>
          </w:p>
          <w:p>
            <w:pPr>
              <w:pStyle w:val="null3"/>
              <w:jc w:val="both"/>
            </w:pPr>
            <w:r>
              <w:rPr>
                <w:sz w:val="21"/>
              </w:rPr>
              <w:t>3）LIS系统（厂家名称：上海杏和软件有限公司）</w:t>
            </w:r>
          </w:p>
          <w:p>
            <w:pPr>
              <w:pStyle w:val="null3"/>
              <w:jc w:val="both"/>
            </w:pPr>
            <w:r>
              <w:rPr>
                <w:sz w:val="21"/>
              </w:rPr>
              <w:t>（2）佛山市南海区第六人民医院：</w:t>
            </w:r>
          </w:p>
          <w:p>
            <w:pPr>
              <w:pStyle w:val="null3"/>
              <w:jc w:val="both"/>
            </w:pPr>
            <w:r>
              <w:rPr>
                <w:sz w:val="21"/>
              </w:rPr>
              <w:t>1）HIS系统（厂家名称：金医慧通科技有限公司）</w:t>
            </w:r>
          </w:p>
          <w:p>
            <w:pPr>
              <w:pStyle w:val="null3"/>
              <w:jc w:val="both"/>
            </w:pPr>
            <w:r>
              <w:rPr>
                <w:sz w:val="21"/>
              </w:rPr>
              <w:t>2）PACS系统（厂家名称：深圳成电金盘健康数据技术有限公司）</w:t>
            </w:r>
          </w:p>
          <w:p>
            <w:pPr>
              <w:pStyle w:val="null3"/>
              <w:jc w:val="both"/>
            </w:pPr>
            <w:r>
              <w:rPr>
                <w:sz w:val="21"/>
              </w:rPr>
              <w:t>3）LIS系统（厂家名称：上海杏和软件有限公司）</w:t>
            </w:r>
          </w:p>
          <w:p>
            <w:pPr>
              <w:pStyle w:val="null3"/>
              <w:jc w:val="both"/>
            </w:pPr>
            <w:r>
              <w:rPr>
                <w:sz w:val="21"/>
              </w:rPr>
              <w:t>（3）佛山市南海区第七人民医院：</w:t>
            </w:r>
          </w:p>
          <w:p>
            <w:pPr>
              <w:pStyle w:val="null3"/>
              <w:jc w:val="both"/>
            </w:pPr>
            <w:r>
              <w:rPr>
                <w:sz w:val="21"/>
              </w:rPr>
              <w:t>1）HIS系统（厂家名称：成都信通网易医疗科技发展有限公）</w:t>
            </w:r>
          </w:p>
          <w:p>
            <w:pPr>
              <w:pStyle w:val="null3"/>
              <w:jc w:val="both"/>
            </w:pPr>
            <w:r>
              <w:rPr>
                <w:sz w:val="21"/>
              </w:rPr>
              <w:t>2）PACS系统（厂家名称：深圳成电金盘健康数据技术有限公司）</w:t>
            </w:r>
          </w:p>
          <w:p>
            <w:pPr>
              <w:pStyle w:val="null3"/>
              <w:jc w:val="both"/>
            </w:pPr>
            <w:r>
              <w:rPr>
                <w:sz w:val="21"/>
              </w:rPr>
              <w:t>3）LIS系统（厂家名称：上海杏和软件有限公司）</w:t>
            </w:r>
          </w:p>
          <w:p>
            <w:pPr>
              <w:pStyle w:val="null3"/>
              <w:jc w:val="both"/>
            </w:pPr>
            <w:r>
              <w:rPr>
                <w:sz w:val="21"/>
                <w:b/>
              </w:rPr>
              <w:t>（二）项目服务的目标</w:t>
            </w:r>
          </w:p>
          <w:p>
            <w:pPr>
              <w:pStyle w:val="null3"/>
              <w:jc w:val="both"/>
            </w:pPr>
            <w:r>
              <w:rPr>
                <w:sz w:val="21"/>
              </w:rPr>
              <w:t>1.通过招标形式选出具有技术实力的合作公司与我院以共同研发的形式，一起共建一套适合医院实际工作需要的智慧平台产品。中标供应商提供技术支持，医院提供具体场景应用需求和资金。</w:t>
            </w:r>
          </w:p>
          <w:p>
            <w:pPr>
              <w:pStyle w:val="null3"/>
              <w:jc w:val="both"/>
            </w:pPr>
            <w:r>
              <w:rPr>
                <w:sz w:val="21"/>
              </w:rPr>
              <w:t>2.双方共同研发，中标供应商向院方提供全套软件产品源码和技术文档，院方有权在源码基础上进行再次开发，或用于与其他合作公司合作与共享。此次中标供应商需要协助医院实现以下目标。</w:t>
            </w:r>
          </w:p>
          <w:p>
            <w:pPr>
              <w:pStyle w:val="null3"/>
              <w:jc w:val="both"/>
            </w:pPr>
            <w:r>
              <w:rPr>
                <w:sz w:val="21"/>
              </w:rPr>
              <w:t>2.1业务统一：实现三院区挂号、缴费、报告查询等核心服务统一入口。</w:t>
            </w:r>
          </w:p>
          <w:p>
            <w:pPr>
              <w:pStyle w:val="null3"/>
              <w:jc w:val="both"/>
            </w:pPr>
            <w:r>
              <w:rPr>
                <w:sz w:val="21"/>
              </w:rPr>
              <w:t>2.2数据整合：建立跨院区患者主索引，统一临床、管理数据标准；</w:t>
            </w:r>
          </w:p>
          <w:p>
            <w:pPr>
              <w:pStyle w:val="null3"/>
              <w:jc w:val="both"/>
            </w:pPr>
            <w:r>
              <w:rPr>
                <w:sz w:val="21"/>
              </w:rPr>
              <w:t>2.3体验升级：提供智能导诊、AI报告解读、医保移动支付等创新服务；</w:t>
            </w:r>
          </w:p>
          <w:p>
            <w:pPr>
              <w:pStyle w:val="null3"/>
              <w:jc w:val="both"/>
            </w:pPr>
            <w:r>
              <w:rPr>
                <w:sz w:val="21"/>
              </w:rPr>
              <w:t>2.4效率提升：简便患者在门诊和住院的业务办理，缩短患者就诊等待时间。</w:t>
            </w:r>
          </w:p>
          <w:p>
            <w:pPr>
              <w:pStyle w:val="null3"/>
              <w:jc w:val="both"/>
            </w:pPr>
            <w:r>
              <w:rPr>
                <w:sz w:val="21"/>
              </w:rPr>
              <w:t>2.5管理协同：建立统一后台管理，支持多院区资源动态调配。</w:t>
            </w:r>
          </w:p>
          <w:p>
            <w:pPr>
              <w:pStyle w:val="null3"/>
              <w:jc w:val="both"/>
            </w:pPr>
            <w:r>
              <w:rPr>
                <w:sz w:val="21"/>
              </w:rPr>
              <w:t>（</w:t>
            </w:r>
            <w:r>
              <w:rPr>
                <w:sz w:val="21"/>
                <w:b/>
              </w:rPr>
              <w:t>三）采购清单及要求</w:t>
            </w:r>
          </w:p>
          <w:tbl>
            <w:tblPr>
              <w:tblInd w:type="dxa" w:w="480"/>
              <w:tblBorders>
                <w:top w:val="none" w:color="000000" w:sz="4"/>
                <w:left w:val="none" w:color="000000" w:sz="4"/>
                <w:bottom w:val="none" w:color="000000" w:sz="4"/>
                <w:right w:val="none" w:color="000000" w:sz="4"/>
                <w:insideH w:val="none"/>
                <w:insideV w:val="none"/>
              </w:tblBorders>
            </w:tblPr>
            <w:tblGrid>
              <w:gridCol w:w="1249"/>
              <w:gridCol w:w="1099"/>
              <w:gridCol w:w="3250"/>
            </w:tblGrid>
            <w:tr>
              <w:tc>
                <w:tcPr>
                  <w:tcW w:type="dxa" w:w="12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主模块</w:t>
                  </w:r>
                </w:p>
              </w:tc>
              <w:tc>
                <w:tcPr>
                  <w:tcW w:type="dxa" w:w="10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功能细项</w:t>
                  </w:r>
                </w:p>
              </w:tc>
              <w:tc>
                <w:tcPr>
                  <w:tcW w:type="dxa" w:w="32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功能要求</w:t>
                  </w:r>
                </w:p>
              </w:tc>
            </w:tr>
            <w:tr>
              <w:tc>
                <w:tcPr>
                  <w:tcW w:type="dxa" w:w="1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统一入口服务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多院区支持</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1.多院区统一入口，可自主选择院区进行挂号、缴费、报告查询等服务；</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公共服务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医院简介</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1.介绍医院的基本情况，便于患者对医院进行了解。</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楼层分布</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2.为患者提供医院楼层科室分布信息。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医院动态</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3.系统可发布相关信息，推送医院最新新闻等动态信息。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专家介绍</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4.介绍各科室专家医生擅长诊治的疾病、简历等信息。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就诊指南</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5.用户可以在手机端查询就诊指南、就诊流程注意事项等。</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来院导航</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6.通过链接第三方导航系统，患者可查看医院位置信息，可直接为患者提供来院导航服务。</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智慧门诊服务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智能导诊</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▲1.可通过人体结构体等方式为患者提供智能导诊功能，患者可通过点击人体结构图，进行病症选择，选择完成后，系统可为患者推荐挂号科室。</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当天挂号</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2.患者可查看当天号源信息，支持患者对当天医院开放号源进行分时段预约挂号。</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预约挂号</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▲3.患者可查看最少未来7天的号源信息，支持患者对未来几天医院开放号源进行分时段预约。</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挂号缴费</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4.患者挂号完成后，支持进行线上缴费。在对接医保之前支持自费支付，对接医保之后，支持医保移动支付。</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就诊签到</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5.患者挂号完成后，就诊当天，可展示就诊二维码，在诊区进行签到。</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候诊查询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6.对接医院排队叫号系统，用户可以在手机端实时查询候诊、治疗等排队信息，查询当前就诊序号、我的序号、剩余人数等信息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门诊缴费</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7.患者在门诊就诊期间，当出现缴费信息时，患者可查看待缴费清单，患者确认后，可进行线上直接缴费。在对接医保之前支持自费支付，对接医保之后，支持医保移动支付。</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费用查询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8.患者可对门诊就诊过程中产生的门诊诊疗费用明细进行查询。</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电子发票</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▲9.支持与院内电子发票系统对接，在线生成门诊费用对应的电子发票</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检查报告查询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10.可在线查询患者既往检查报告；</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检验报告查询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11.可在线查询患者既往检验报告</w:t>
                  </w:r>
                </w:p>
              </w:tc>
            </w:tr>
            <w:tr>
              <w:tc>
                <w:tcPr>
                  <w:tcW w:type="dxa" w:w="1249"/>
                  <w:vMerge/>
                  <w:tcBorders>
                    <w:top w:val="none" w:color="000000" w:sz="4"/>
                    <w:left w:val="single" w:color="000000" w:sz="4"/>
                    <w:bottom w:val="single" w:color="000000" w:sz="4"/>
                    <w:right w:val="single" w:color="000000" w:sz="4"/>
                  </w:tcBorders>
                </w:tcPr>
                <w:p/>
              </w:tc>
              <w:tc>
                <w:tcPr>
                  <w:tcW w:type="dxa" w:w="10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医生主页</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▲12.用户或医生可在线生成二维码，扫二维码可直接进入医生主页，并支持将在线生成的二维码保存到相册或分享给微信好友；</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▲13.医生主页涵盖医生提供的就诊服务及其他服务，同时支持查看医生发布的文章动态，并支持从文章动态中进入医生主页；</w:t>
                  </w:r>
                </w:p>
              </w:tc>
            </w:tr>
            <w:tr>
              <w:tc>
                <w:tcPr>
                  <w:tcW w:type="dxa" w:w="1249"/>
                  <w:vMerge/>
                  <w:tcBorders>
                    <w:top w:val="none" w:color="000000" w:sz="4"/>
                    <w:left w:val="single" w:color="000000" w:sz="4"/>
                    <w:bottom w:val="single" w:color="000000" w:sz="4"/>
                    <w:right w:val="single" w:color="000000" w:sz="4"/>
                  </w:tcBorders>
                </w:tcPr>
                <w:p/>
              </w:tc>
              <w:tc>
                <w:tcPr>
                  <w:tcW w:type="dxa" w:w="10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其他业务查询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14.用户可在线查询药品及价格；</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15.用户可在线查询收费项目及价格；</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16.用户可在线查询以往处方信息；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医技预约服务</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17.对接医院已有的医技预约平台，医生开具检查医嘱，用户支付完成后可在线进行检查项目预约，预约可分时段，支持直接到检查科室进行签到、检查；</w:t>
                  </w:r>
                </w:p>
              </w:tc>
            </w:tr>
            <w:tr>
              <w:tc>
                <w:tcPr>
                  <w:tcW w:type="dxa" w:w="1249"/>
                  <w:vMerge/>
                  <w:tcBorders>
                    <w:top w:val="none" w:color="000000" w:sz="4"/>
                    <w:left w:val="single" w:color="000000" w:sz="4"/>
                    <w:bottom w:val="single" w:color="000000" w:sz="4"/>
                    <w:right w:val="single" w:color="000000" w:sz="4"/>
                  </w:tcBorders>
                </w:tcPr>
                <w:p/>
              </w:tc>
              <w:tc>
                <w:tcPr>
                  <w:tcW w:type="dxa" w:w="10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检验自助开单</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▲18.将可开放自助下单的检验项目如血液检验、尿液检验、影像检验等展示在检验项目内，患者可根据自身需求，快速点击进入相应分类，方便筛选目标检验项目。</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▲19.点击具体检验项目后，页面展示详细信息，包括项目名称、检验目的、检测地点信息、注意事项。</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▲20.结算页面支持微信自费支付、医保电子凭证线上结算。患者可根据自身情况自由选择。</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服务通知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21.支持患者端自由开关消息通知，门诊挂号、缴费等操作有相关通知推送。</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智慧住院服务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住院预交</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1.患者可对住院预交金进行充值或补缴。</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住院预交金余额查询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2.患者可对住院预交金余额进行查询。</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住院退费</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3.患者可对住院剩余费用进行退费操作。</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住院明细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4.可查询住院费用明细</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住院报告查询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▲5.支持患者在线查询住院检查检验报告。</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住院病历查询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6.支持患者在线查询住院病历信息。</w:t>
                  </w:r>
                </w:p>
              </w:tc>
            </w:tr>
            <w:tr>
              <w:tc>
                <w:tcPr>
                  <w:tcW w:type="dxa" w:w="1249"/>
                  <w:vMerge/>
                  <w:tcBorders>
                    <w:top w:val="none" w:color="000000" w:sz="4"/>
                    <w:left w:val="single" w:color="000000" w:sz="4"/>
                    <w:bottom w:val="single" w:color="000000" w:sz="4"/>
                    <w:right w:val="single" w:color="000000" w:sz="4"/>
                  </w:tcBorders>
                </w:tcPr>
                <w:p/>
              </w:tc>
              <w:tc>
                <w:tcPr>
                  <w:tcW w:type="dxa" w:w="10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自助入院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7.患者可在线查询可预约住院床位情况；</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8.患者线上预约申请住院时间、床位类型等；</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9.患者住院预约成功后通过短信、微信等提醒患者住院预约信息；</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10.患者可以在手机端查询住院预约情况；</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11.办理自助入院后推送住院须知；</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出院自助结算</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费用明细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1.结算前展示住院费用分类统计，主要明细信息。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费用结算</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▲2.支持患者自费结算，提示并确认自费费用后，完成结算，办理出院。（如医保侧支持住院业务线上结算，系统建设方需配合完成医保患者线上自助出院功能）</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电子发票</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3.支持与院内电子发票系统对接，在线生成住院费用对应的电子发票</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出院带药</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▲4.患者可以通过住院号、身份证号、姓名等信息查询自己的出院带药信息，和合理用药系统进行对接可查询药品说明书，用药提醒。</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医保电子凭证线上应用</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医保电子凭证领取</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1.患者可通过小程序直接激活、领取医保电子凭证，无需再次注册。</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待结算列表查询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2.患者有院内就诊费用产生，可通过小程序直接查询待结算列表，待结算列表中需展示在一段时间内，患者在医院的所有的待结算信息。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医保、自费支付方式选择</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3.患者获取待结算信息后，可直接进行线上缴费结算，线上缴费，患者可选择医保、自费两种支付方式。选择医保支付，则可进行医保混合支付，选择自费支付，可直接拉起自费支付界面。</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医保电子凭证免密授权</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4.患者在选择医保支付时需要获取医保电子凭证，患者通过小程序在获取医保电子凭证时，只需点击授权即可，无需进行密码验证，方便快捷。</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医保支付</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▲5.获取医保电子凭证授权后，系统会显示预结算信息，展示医保支付金额、自费支付金额等信息，患者核实信息后即可进行医保支付。</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自费支付</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6.对于混合支付订单，在医保支付完成后需进行自费部分支付，患者可直接进行自费支付，无需切换支付界面，方便快捷。</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结算成功消息提醒</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7.结算完成后，系统会将结算成功的消息发送至患者，方便查看及进行下一步操作。</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结算成功明细查询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▲8.结算完成后，患者可通过微信小程序查询结算成功后的订单明细，明细中会明确呈现自费金额及医保金额，方便患者查看。</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智能消息指引</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待缴费推送</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1.医生开具医嘱后，主动推送待缴费给患者；</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停诊推送</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▲2.用户挂号停诊后，主动推送消息给患者；</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手术通知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3.推送手术信息，同时可推送注意事项；</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建档成功提醒</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4.患者绑定就诊人或建档后进行消息提醒；</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入院提示</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5.用户入院时可推送住院须知等信息；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出院提示</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6.用户出院后，可推送出院注意事项；</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取药提示</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7.门诊缴费成功后，推送取药位置等信息；</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报告出具提示</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▲8.检验检查报告出具后，主动推送消息给患者；</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医生停诊通知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9.医生停诊后可推送消息给患者；</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缴费成功提醒</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10.各类缴费成功提醒，如挂号、门诊缴费、住院预交等；</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候诊情况提醒</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11.可在线推送候诊情况，在临近就诊时进行推送；</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检查注意提醒</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12.可在线推送检验检查注意事项；</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个人中心服务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实名认证</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1.支持刷脸或者身份证上传的方式进行实名认证。</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就诊人员管理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▲2.在就诊人列表内，可进行默认就诊人设置，一个用户最多添加5个就诊者。</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电子就诊卡</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3.可领取医院线上电子就诊卡。</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4.患者可通过互联网医院直接领取医保电子凭证，在就诊过程中，可直接展示医保电子凭证进行就诊。</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关注收藏</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5.可对感兴趣的医生、文章、视频等内容进行关注收藏。</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预约记录</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6.可以查询以往的预约记录包括挂号记录、检查检验记录等。</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门诊缴费记录</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7.可对门诊缴费记录进行查询。</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住院预交记录</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8.可对住院就诊卡的充值记录进行查询。</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预约取消</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9.针对预约的项目，根据取消规则，支持在线取消功能，费用原路退回患者账户</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电子票据</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10.对接电子票据平台，患者可通过小程序直接领取电子票据。</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我的处方</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11.可查看线上问诊处方详情。</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用户反馈</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▲12.患者可进行线上意见反馈。</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运营管理服务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科室管理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▲1.支持添加、删除、修改医院的科室信息，包括科室名称、科室简介、所属科室类别等。</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医生管理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2.支持登记医生的详细个人信息，如姓名、性别、职称、擅长领域等。支持审核医生的资质证书和执业资格。为医生分配科室和工作权限。查看医生的工作量、患者评价、诊疗效果等绩效数据。</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医院基本信息管理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3.维护医院的基础信息，如医院名称、地址、联系电话、医院等级等。上传和更新医院的宣传图片、简介资料。</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公告管理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4.发布医院的重要通知、公告，如停诊通知、专家出诊变更等。编辑公告内容，设置公告的生效时间和失效时间。查看公告的阅读量和反馈情况。</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物价公示</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5.公布医院各项医疗服务和药品的价格。对价格进行调整和更新，并记录价格变动历史。</w:t>
                  </w:r>
                </w:p>
              </w:tc>
            </w:tr>
            <w:tr>
              <w:tc>
                <w:tcPr>
                  <w:tcW w:type="dxa" w:w="1249"/>
                  <w:vMerge/>
                  <w:tcBorders>
                    <w:top w:val="none" w:color="000000" w:sz="4"/>
                    <w:left w:val="single" w:color="000000" w:sz="4"/>
                    <w:bottom w:val="single" w:color="000000" w:sz="4"/>
                    <w:right w:val="single" w:color="000000" w:sz="4"/>
                  </w:tcBorders>
                </w:tcPr>
                <w:p/>
              </w:tc>
              <w:tc>
                <w:tcPr>
                  <w:tcW w:type="dxa" w:w="10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问卷调查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6.支持满意度调查功能的自行维护，维护后展示到小程序；</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7.支持用户填写问卷后的内容进行查看；</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日志管理</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8.记录系统中所有重要操作的日志，包括操作人员、操作时间、操作内容等。对日志进行分类和检索，方便快速查找特定的操作记录。</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规则服务</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9.系统支持设置各类规则，如：首页轮播图、首页提醒内容、就诊人绑定数量设置、单日最大挂号数量限制、有未支付挂号订单时禁止挂号等</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系统监控</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10.实时监测系统的运行状态，包括服务器性能、网络带宽使用情况等。接收系统故障和异常的报警信息，并及时通知相关人员处理。</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满意度调查服务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就诊满意度调查问卷</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1.持门诊、住院等满意度调查的填写，通过短信、微信等方式动态推送满意度调查内容，满意度调查结果与就诊活动可对应；</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投诉及意见反馈</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2.用户可以在移动端进行投诉及意见反馈，并通过短信、微信消息等方式收到回应；</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老年关爱服务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就诊人员绑定</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1.支持在线新建就诊人及已有就诊人绑定；</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挂号</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▲2.支持大字版在线挂号；</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门诊缴费</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3.支持大字版在线门诊缴费；</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报告查询</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4.支持大字版在线报告查询；</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AI能力-智能导诊服务</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智能导诊－单医院接入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1.支持接入单个医院，可以根据患者的问题描述来智能推荐相应的科室，患者点击挂号后可以前往相应挂号页面；</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智能导诊-多院区接入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2.支持接入医院的多个院区，可以根据患者选择的院区以及患者的问题描述智能推荐相应的科室和医生，患者点击挂号后可以前往相应挂号页面；</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多轮追问</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▲3.针对患者描述的问题，会进一步追问其他伴随症状，更准确地推荐科室；</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挂号直达</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4.智能推荐的科室和医生，可以一键直达挂号页面，减少线上挂错号的可能性；</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号源对接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5.支持对接医院科室医生的号源，优先推荐7日内有号源的医生；</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AI能力－检查检验报告解读</w:t>
                  </w:r>
                </w:p>
              </w:tc>
              <w:tc>
                <w:tcPr>
                  <w:tcW w:type="dxa" w:w="109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检查检验报告解读</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▲1.患者在报告查询内查询自己的检查检验报告，报告单集成AI解读功能，自动获取该报告的基本信息，提供AI报告解读功能，对各项指标快速做出综合分析并给出建议方案</w:t>
                  </w:r>
                </w:p>
              </w:tc>
            </w:tr>
            <w:tr>
              <w:tc>
                <w:tcPr>
                  <w:tcW w:type="dxa" w:w="1249"/>
                  <w:vMerge/>
                  <w:tcBorders>
                    <w:top w:val="none" w:color="000000" w:sz="4"/>
                    <w:left w:val="single" w:color="000000" w:sz="4"/>
                    <w:bottom w:val="single" w:color="000000" w:sz="4"/>
                    <w:right w:val="single" w:color="000000" w:sz="4"/>
                  </w:tcBorders>
                </w:tcPr>
                <w:p/>
              </w:tc>
              <w:tc>
                <w:tcPr>
                  <w:tcW w:type="dxa" w:w="1099"/>
                  <w:vMerge/>
                  <w:tcBorders>
                    <w:top w:val="none" w:color="000000" w:sz="4"/>
                    <w:left w:val="none" w:color="000000" w:sz="4"/>
                    <w:bottom w:val="single" w:color="000000" w:sz="4"/>
                    <w:right w:val="single" w:color="000000" w:sz="4"/>
                  </w:tcBorders>
                </w:tcP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▲2.根据患者输入内容，智能识别检验注意事项、检验指标异常、检验检查含义等检验意图，返回对应检验检查指标百科；</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AI能力－智能预问诊</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就诊人员选择</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1.选择需要进行预问诊的就诊人信息，关联到该就诊人</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科室挂号信息对接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2.系统支持与医院的挂号系统对接，通过接口自动获取科室等基本信息，自动处理并跳过部分问题，降低用户操作成本；</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主诉问题填写</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▲3.根据患者以及所挂科室或医生信息，匹配对应的预问诊内容，患者按照步骤填写预问诊信息，填写完成后进行在线提交</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预问诊信息回写</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4.患者填写的预问诊信息，自动回写到医院的电子病历系统，生成对应的诊前就诊病历信息，患者就诊时医生能调取出患者的预问诊信息内容，方便医患之间的面诊。</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疑难词汇AI标注</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5.对于患者较难理解的医学专业术语，系统支持通过AI注释等方式进行说明，方便患者更清楚、准确地描述自身情况，降低理解成本；</w:t>
                  </w:r>
                </w:p>
              </w:tc>
            </w:tr>
            <w:tr>
              <w:tc>
                <w:tcPr>
                  <w:tcW w:type="dxa" w:w="12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AI能力-AI客服</w:t>
                  </w: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常见问题预置</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▲1.提供常见的问题预置功能，如：头疼，高血压等症状问题，患者选择该问题后，AI自动生成症状的建议</w:t>
                  </w:r>
                </w:p>
              </w:tc>
            </w:tr>
            <w:tr>
              <w:tc>
                <w:tcPr>
                  <w:tcW w:type="dxa" w:w="1249"/>
                  <w:vMerge/>
                  <w:tcBorders>
                    <w:top w:val="none" w:color="000000" w:sz="4"/>
                    <w:left w:val="single" w:color="000000" w:sz="4"/>
                    <w:bottom w:val="single" w:color="000000" w:sz="4"/>
                    <w:right w:val="single" w:color="000000" w:sz="4"/>
                  </w:tcBorders>
                </w:tcPr>
                <w:p/>
              </w:tc>
              <w:tc>
                <w:tcPr>
                  <w:tcW w:type="dxa" w:w="1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问题输入</w:t>
                  </w:r>
                </w:p>
              </w:tc>
              <w:tc>
                <w:tcPr>
                  <w:tcW w:type="dxa" w:w="3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2.患者可输入想要咨询的医学的问题，根据患者的问题，进行智能客服解答，给出相关问题反馈。</w:t>
                  </w:r>
                </w:p>
              </w:tc>
            </w:tr>
          </w:tbl>
          <w:p>
            <w:pPr>
              <w:pStyle w:val="null3"/>
            </w:pPr>
            <w:r>
              <w:rPr>
                <w:sz w:val="21"/>
                <w:b/>
              </w:rPr>
              <w:t>（四）人员资质要求：</w:t>
            </w:r>
          </w:p>
          <w:p>
            <w:pPr>
              <w:pStyle w:val="null3"/>
            </w:pPr>
            <w:r>
              <w:rPr>
                <w:sz w:val="21"/>
              </w:rPr>
              <w:t>1.须拟派1名项目负责人，需具备2年及以上信息化行业相关项目管理经验，需具备计算机相关专业能力、信息系统项目管理能力及软件产品的质量验证与保障能力。</w:t>
            </w:r>
          </w:p>
          <w:p>
            <w:pPr>
              <w:pStyle w:val="null3"/>
            </w:pPr>
            <w:r>
              <w:rPr>
                <w:sz w:val="21"/>
              </w:rPr>
              <w:t>2.须拟派1名技术负责人，需具备信息系统项目管理能力。</w:t>
            </w:r>
          </w:p>
          <w:p>
            <w:pPr>
              <w:pStyle w:val="null3"/>
            </w:pPr>
            <w:r>
              <w:rPr>
                <w:sz w:val="21"/>
              </w:rPr>
              <w:t>3.须拟派项目团队其他成员（不含项目负责人、技术负责人），要求4人或以上，需具备信息系统项目管理能力、软件产品的质量验证与保障能力、软件设计能力及系统集成项目管理能力。</w:t>
            </w:r>
          </w:p>
          <w:p>
            <w:pPr>
              <w:pStyle w:val="null3"/>
            </w:pPr>
            <w:r>
              <w:rPr>
                <w:sz w:val="21"/>
              </w:rPr>
              <w:t>4.需提供承诺函（格式自拟），承诺项目团队服务人员按采购人和项目实际需求进行驻场，项目团队人员不可兼任，应具备投标文件中对应资质，且人员不得随意更换，如需更换的，则必须征得采购人的书面同意，经试用符合要求方可更换。如因成员能力不足，导致项目实施延期或不能达到本项目的要求，中标供应商应自违约之日起每日按合同总额的 3‰比例向采购人支付违约金；项目延期或不能达到本项目的要求超过 15 日以上时，采购人有权终止合同，由此造成采购人的经济损失由中标供应商承担。</w:t>
            </w:r>
          </w:p>
          <w:p>
            <w:pPr>
              <w:pStyle w:val="null3"/>
            </w:pPr>
            <w:r>
              <w:rPr>
                <w:sz w:val="21"/>
              </w:rPr>
              <w:t>5.须在项目管理机构人员组成表（格式自拟）中列明项目团队成员信息（包含项目负责人、技术负责人、项目团队其他成员），同时提供以上人员在投标截止时间前6个月内任意1个月通过投标人缴纳的社保记录（社保部门证明或社保部门官方网站查询结果页面截图）证明文件扫描件并加盖投标人公章。</w:t>
            </w:r>
          </w:p>
          <w:p>
            <w:pPr>
              <w:pStyle w:val="null3"/>
              <w:jc w:val="both"/>
            </w:pPr>
            <w:r>
              <w:rPr>
                <w:sz w:val="21"/>
                <w:b/>
              </w:rPr>
              <w:t>（五）其他服务方案要求</w:t>
            </w:r>
          </w:p>
          <w:p>
            <w:pPr>
              <w:pStyle w:val="null3"/>
              <w:jc w:val="both"/>
            </w:pPr>
            <w:r>
              <w:rPr>
                <w:sz w:val="21"/>
              </w:rPr>
              <w:t>1.投标人针对本项目提供的技术设计方案，根据对项目的理解，结合医院现在和未来发展的需求，提供的投标技术设计方案（包括但不限于：系统技术架构、数据安全防护、技术选型的成熟度与兼容性，系统未来可扩展性等方面，方案需要具备落地时效以及医院发展的前瞻性、可扩展性），方案要完整、熟悉了解项目相关业务数据架构，系统接口设计合理，突出智慧诊疗平台的设计重点，系统部署方案可靠性高、可扩展性强。</w:t>
            </w:r>
          </w:p>
          <w:p>
            <w:pPr>
              <w:pStyle w:val="null3"/>
              <w:jc w:val="both"/>
            </w:pPr>
            <w:r>
              <w:rPr>
                <w:sz w:val="21"/>
              </w:rPr>
              <w:t>2.投标人针对本项目提供的实施服务方案（包括但不限于时间进度控制、人力资源安排、风险控制和质量保证措施等），提供的实施服务方案要对项目有清晰、合理、完整的时间进度控制，人力资源安排、风险控制和质量保证措施合理、完整，安排人员满足支撑项目的落地升级，同时可开展具体工作，具备一定的可操作性。</w:t>
            </w:r>
          </w:p>
          <w:p>
            <w:pPr>
              <w:pStyle w:val="null3"/>
              <w:jc w:val="both"/>
            </w:pPr>
            <w:r>
              <w:rPr>
                <w:sz w:val="21"/>
              </w:rPr>
              <w:t>3.投标人针对本项目提供的售后服务与运维方案（包括但不限于售后服务内容，售后服务流程、应急预案、培训方案以及系统上线后的运维方案等），提供的售后服务与运维方案有完整的售后服务和运维服务流程，提供基于系统建设或实施过程中的合理应急预案及质量保障措施，对售后服务和运维服务工作分析到位及完整的、有详细的售后服务与运维方案。</w:t>
            </w:r>
          </w:p>
          <w:p>
            <w:pPr>
              <w:pStyle w:val="null3"/>
              <w:jc w:val="both"/>
            </w:pPr>
            <w:r>
              <w:rPr>
                <w:sz w:val="21"/>
                <w:b/>
              </w:rPr>
              <w:t>（六）运维服务质量考核表</w:t>
            </w:r>
          </w:p>
          <w:p>
            <w:pPr>
              <w:pStyle w:val="null3"/>
              <w:jc w:val="left"/>
            </w:pPr>
            <w:r>
              <w:rPr>
                <w:sz w:val="21"/>
              </w:rPr>
              <w:t>考核满分为100分。评分细则如下（扣减分情况）:</w:t>
            </w:r>
          </w:p>
          <w:tbl>
            <w:tblPr>
              <w:tblInd w:type="dxa" w:w="240"/>
              <w:tblBorders>
                <w:top w:val="none" w:color="000000" w:sz="4"/>
                <w:left w:val="none" w:color="000000" w:sz="4"/>
                <w:bottom w:val="none" w:color="000000" w:sz="4"/>
                <w:right w:val="none" w:color="000000" w:sz="4"/>
                <w:insideH w:val="none"/>
                <w:insideV w:val="none"/>
              </w:tblBorders>
            </w:tblPr>
            <w:tblGrid>
              <w:gridCol w:w="739"/>
              <w:gridCol w:w="966"/>
              <w:gridCol w:w="3199"/>
              <w:gridCol w:w="694"/>
            </w:tblGrid>
            <w:tr>
              <w:tc>
                <w:tcPr>
                  <w:tcW w:type="dxa" w:w="739"/>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序号</w:t>
                  </w:r>
                </w:p>
              </w:tc>
              <w:tc>
                <w:tcPr>
                  <w:tcW w:type="dxa" w:w="96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考核项目</w:t>
                  </w:r>
                </w:p>
              </w:tc>
              <w:tc>
                <w:tcPr>
                  <w:tcW w:type="dxa" w:w="319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评分细则</w:t>
                  </w:r>
                </w:p>
              </w:tc>
              <w:tc>
                <w:tcPr>
                  <w:tcW w:type="dxa" w:w="694"/>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扣分情况</w:t>
                  </w:r>
                </w:p>
              </w:tc>
            </w:tr>
            <w:tr>
              <w:tc>
                <w:tcPr>
                  <w:tcW w:type="dxa" w:w="739"/>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w:t>
                  </w:r>
                </w:p>
              </w:tc>
              <w:tc>
                <w:tcPr>
                  <w:tcW w:type="dxa" w:w="966"/>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优化需求管理</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1、未能按时完成需求收集工作，扣2分。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tcBorders>
                    <w:top w:val="none" w:color="000000" w:sz="4"/>
                    <w:left w:val="singl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2、擅自修改已确定的优化需求范围，不通报采购人对接人的，发现一次扣2分。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tcBorders>
                    <w:top w:val="none" w:color="000000" w:sz="4"/>
                    <w:left w:val="singl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3、发现重大优化需求分析缺陷，扣2分。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w:t>
                  </w:r>
                </w:p>
              </w:tc>
              <w:tc>
                <w:tcPr>
                  <w:tcW w:type="dxa" w:w="966"/>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沟通管理</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1、对外擅自承诺新版本发布或BUG修复时间，发现一次扣2分。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tcBorders>
                    <w:top w:val="none" w:color="000000" w:sz="4"/>
                    <w:left w:val="singl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2、项目软件有BUG,发现以后不及时通报采购人对接人，不能及时解决因为BUG导致的开发问题，发现一次扣3分。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w:t>
                  </w:r>
                </w:p>
              </w:tc>
              <w:tc>
                <w:tcPr>
                  <w:tcW w:type="dxa" w:w="966"/>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故障处理及Bug修复时限</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1、引起业务中断的故障（明确非项目软件原因除外），每发生一次重大故障扣5分到15分；每发生一次非重大故障扣1分到4分；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tcBorders>
                    <w:top w:val="none" w:color="000000" w:sz="4"/>
                    <w:left w:val="singl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2、因文档不全、人员未及时到位等导致不能及时进行故障处理，每次扣2分；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tcBorders>
                    <w:top w:val="none" w:color="000000" w:sz="4"/>
                    <w:left w:val="singl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3、未按照共同确定的时限修复软件BUG,发现一次扣5分。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w:t>
                  </w:r>
                </w:p>
              </w:tc>
              <w:tc>
                <w:tcPr>
                  <w:tcW w:type="dxa" w:w="966"/>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文档管理</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1、优化版本没有完整的设计、实施、开发、维护文档，而发布上线，发现一次扣3分。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tcBorders>
                    <w:top w:val="none" w:color="000000" w:sz="4"/>
                    <w:left w:val="singl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2、文档更新不及时，发现一次扣1分，引起问题的，发现一次扣2分。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19"/>
                    </w:rPr>
                    <w:t xml:space="preserve"> </w:t>
                  </w:r>
                </w:p>
              </w:tc>
            </w:tr>
            <w:tr>
              <w:tc>
                <w:tcPr>
                  <w:tcW w:type="dxa" w:w="739"/>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w:t>
                  </w:r>
                </w:p>
              </w:tc>
              <w:tc>
                <w:tcPr>
                  <w:tcW w:type="dxa" w:w="96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版本管理</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1、没有及时按要求进行版本的升级维护，发现一次扣3分。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w:t>
                  </w:r>
                </w:p>
              </w:tc>
              <w:tc>
                <w:tcPr>
                  <w:tcW w:type="dxa" w:w="966"/>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日常维护</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1、电话支持服务：</w:t>
                  </w:r>
                  <w:r>
                    <w:br/>
                  </w:r>
                  <w:r>
                    <w:rPr>
                      <w:sz w:val="21"/>
                    </w:rPr>
                    <w:t>上班时间无人接听支持电话，每发生一次扣1分；</w:t>
                  </w:r>
                  <w:r>
                    <w:br/>
                  </w:r>
                  <w:r>
                    <w:rPr>
                      <w:sz w:val="21"/>
                    </w:rPr>
                    <w:t>接听支持电话时，态度不好或推诿，每发生一次扣1分；</w:t>
                  </w:r>
                  <w:r>
                    <w:br/>
                  </w:r>
                  <w:r>
                    <w:rPr>
                      <w:sz w:val="21"/>
                    </w:rPr>
                    <w:t>对于无法电话中解决的问题，下一步解决安排不妥当而导致投诉升级，每发生一次扣2分；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vMerge/>
                  <w:tcBorders>
                    <w:top w:val="none" w:color="000000" w:sz="4"/>
                    <w:left w:val="singl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2、邮件支持服务：</w:t>
                  </w:r>
                  <w:r>
                    <w:br/>
                  </w:r>
                  <w:r>
                    <w:rPr>
                      <w:sz w:val="21"/>
                    </w:rPr>
                    <w:t>收到用户（含用户方集成商）反映问题的邮件后，在24小时内不处理（周六、日除外），每发生一次扣1分；</w:t>
                  </w:r>
                  <w:r>
                    <w:br/>
                  </w:r>
                  <w:r>
                    <w:rPr>
                      <w:sz w:val="21"/>
                    </w:rPr>
                    <w:t>处理完用户的问题后，不及时反馈，每发生一次扣1分；</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w:t>
                  </w:r>
                </w:p>
              </w:tc>
              <w:tc>
                <w:tcPr>
                  <w:tcW w:type="dxa" w:w="96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重大事项一票否决规定</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对于项目软件提供商严重违反规定，如：项目严重超期、产品质量严重不符合采购人要求、泄露系统配置、系统信息、相关文档内容和核心技术；因其他原因导致重大故障，引起严重后果。当次考核得分为零，并按相关规定追究当事人及所在公司的责任。</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39"/>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w:t>
                  </w:r>
                </w:p>
              </w:tc>
              <w:tc>
                <w:tcPr>
                  <w:tcW w:type="dxa" w:w="96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奖励和加分说明</w:t>
                  </w:r>
                </w:p>
              </w:tc>
              <w:tc>
                <w:tcPr>
                  <w:tcW w:type="dxa" w:w="319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1.奖励得分前提条件为当月基本得分在80分以上，且奖励总分原则上不超过20分，奖励分数+当月基本得分原则上不超过100分。</w:t>
                  </w:r>
                </w:p>
                <w:p>
                  <w:pPr>
                    <w:pStyle w:val="null3"/>
                    <w:jc w:val="left"/>
                  </w:pPr>
                  <w:r>
                    <w:rPr>
                      <w:sz w:val="21"/>
                    </w:rPr>
                    <w:t>2.发现基于此项目在开发和维护管理中存在风险并及时提出解决方案每次可给予5分奖励。</w:t>
                  </w:r>
                </w:p>
                <w:p>
                  <w:pPr>
                    <w:pStyle w:val="null3"/>
                    <w:jc w:val="left"/>
                  </w:pPr>
                  <w:r>
                    <w:rPr>
                      <w:sz w:val="21"/>
                    </w:rPr>
                    <w:t>3.发生系统故障，并积极主动配合并挽回或避免损失可给予2到6分奖励。</w:t>
                  </w:r>
                </w:p>
                <w:p>
                  <w:pPr>
                    <w:pStyle w:val="null3"/>
                    <w:jc w:val="left"/>
                  </w:pPr>
                  <w:r>
                    <w:rPr>
                      <w:sz w:val="21"/>
                    </w:rPr>
                    <w:t>4.提出有价值的合理化建议，每次给予加1分奖励，如果采纳并取得显著效果的，每次给予加5分奖励。</w:t>
                  </w:r>
                </w:p>
                <w:p>
                  <w:pPr>
                    <w:pStyle w:val="null3"/>
                    <w:jc w:val="left"/>
                  </w:pPr>
                  <w:r>
                    <w:rPr>
                      <w:sz w:val="21"/>
                    </w:rPr>
                    <w:t>5.对投诉处理积极主动，提出合理化解决投诉方案，配合解决好重大投诉,可给与1-5分奖励。</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4904"/>
                  <w:gridSpan w:val="3"/>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总得分（扣减分后）</w:t>
                  </w:r>
                </w:p>
              </w:tc>
              <w:tc>
                <w:tcPr>
                  <w:tcW w:type="dxa" w:w="69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bl>
          <w:p>
            <w:pPr>
              <w:pStyle w:val="null3"/>
              <w:jc w:val="left"/>
            </w:pPr>
            <w:r>
              <w:rPr>
                <w:sz w:val="21"/>
              </w:rPr>
              <w:t>考核说明：采用100分制，运维服务期内，采购人每半年对中标供应商的运维服务质量情况进行考核，采购人根据中标供应商年度</w:t>
            </w:r>
            <w:r>
              <w:rPr>
                <w:sz w:val="21"/>
              </w:rPr>
              <w:t>两次</w:t>
            </w:r>
            <w:r>
              <w:rPr>
                <w:sz w:val="21"/>
              </w:rPr>
              <w:t>运维服务质量考核结果</w:t>
            </w:r>
            <w:r>
              <w:rPr>
                <w:sz w:val="21"/>
              </w:rPr>
              <w:t>的平均值</w:t>
            </w:r>
            <w:r>
              <w:rPr>
                <w:sz w:val="21"/>
              </w:rPr>
              <w:t>支付运维服务期满后的服务费：</w:t>
            </w:r>
          </w:p>
          <w:p>
            <w:pPr>
              <w:pStyle w:val="null3"/>
              <w:jc w:val="left"/>
            </w:pPr>
            <w:r>
              <w:rPr>
                <w:sz w:val="21"/>
              </w:rPr>
              <w:t>1.优秀：运维服务质量考核在90分（含）以上，足额支付运维服务期满后的服务费。</w:t>
            </w:r>
          </w:p>
          <w:p>
            <w:pPr>
              <w:pStyle w:val="null3"/>
              <w:jc w:val="left"/>
            </w:pPr>
            <w:r>
              <w:rPr>
                <w:sz w:val="21"/>
              </w:rPr>
              <w:t>2.良好：运维服务质量考核在80分-89分，扣除运维服务期满后的服务费人民币</w:t>
            </w:r>
            <w:r>
              <w:rPr>
                <w:sz w:val="21"/>
                <w:u w:val="single"/>
              </w:rPr>
              <w:t>2,000.00</w:t>
            </w:r>
            <w:r>
              <w:rPr>
                <w:sz w:val="21"/>
              </w:rPr>
              <w:t>元，并责令中标供应商加强运维服务质量管理。</w:t>
            </w:r>
          </w:p>
          <w:p>
            <w:pPr>
              <w:pStyle w:val="null3"/>
              <w:jc w:val="left"/>
            </w:pPr>
            <w:r>
              <w:rPr>
                <w:sz w:val="21"/>
              </w:rPr>
              <w:t>3.合格：运维服务质量考核在60分-79分，扣除运维服务期满后的服务费人民币</w:t>
            </w:r>
            <w:r>
              <w:rPr>
                <w:sz w:val="21"/>
                <w:u w:val="single"/>
              </w:rPr>
              <w:t>5,000.00</w:t>
            </w:r>
            <w:r>
              <w:rPr>
                <w:sz w:val="21"/>
              </w:rPr>
              <w:t>元并责令整改，若整改无效的采购人有权单方面解除合同，一切责任与采购人无关。</w:t>
            </w:r>
          </w:p>
          <w:p>
            <w:pPr>
              <w:pStyle w:val="null3"/>
              <w:jc w:val="both"/>
            </w:pPr>
            <w:r>
              <w:rPr>
                <w:sz w:val="21"/>
              </w:rPr>
              <w:t>4.不合格：运维服务质量考核在60分（不含）以下，扣除运维服务期满后的服务费且采购人有权单方面解除合同，由此产生的一切责任由中标供应商承担。</w:t>
            </w:r>
          </w:p>
          <w:p>
            <w:pPr>
              <w:pStyle w:val="null3"/>
              <w:jc w:val="both"/>
            </w:pPr>
            <w:r>
              <w:rPr>
                <w:sz w:val="21"/>
              </w:rPr>
              <w:t>注：年度两次运维服务质量考核结果的平均值达到合格或以上并按</w:t>
            </w:r>
            <w:r>
              <w:rPr>
                <w:sz w:val="21"/>
              </w:rPr>
              <w:t>采购人</w:t>
            </w:r>
            <w:r>
              <w:rPr>
                <w:sz w:val="21"/>
              </w:rPr>
              <w:t>要求整改（如有）完毕则视为最终验收合格。</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1.采购代理机构：本项目是指广东信诚招标代理咨询有限公司佛山分公司，负责整个采购活动的组织，依法负责编制和发布招标文件，对招标文件拥有最终的解释权，不以任何身份出任评标委员会成员。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佛山市南海区第五人民医院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向中标供应商收取，收费标准参照《招标代理服务收费管理暂行办法》（计价格〔2002〕1980号)附表服务类招标收费标准向中标(成交)人收取中标服务费，以中标价为计费基数计算代理费后下浮30%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其他，1.投标人需登录广东政府采购智慧云平台项目采购系统的等候大厅留意投标文件澄清等环节信息，在规定时间内完成对应的响应并加盖电子印章（未按要求进行响应，由此造成的后果由投标人自行承担）。 2.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递交投标文件后视为已作出以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（2）投标人承诺保证上述应公示的内容的真实性，且确认不涉及任何个人隐私、商业非公开资料/保密内容和其他不可公开的内容。如若中标，同意采购人或其委托的代理机构将上述应公示的内容予以公开。 3.投标人应按照本项目招标公告附件的《服务类项目中小企业声明函模板（填写说明）》进行响应，否则不予认定。 4.根据《佛山市政务服务数据管理局佛山市财政局关于进一步促进公平竞争优化政府采购营商环境的通知》（佛政数函[2021]54号），参与政府采购的中小微企业可凭借中标通知书或政府采购合同，利用“省中小融”、“粤信融”、“中征应收账款融资服务平台”等平台向金融机构申请融资，获得无财产抵押贷款。 5.资金来源，自筹资金，本项目属于政府采购项目。 6.招标文件附件：投标人应将招标公告中“相关附件”（如有）内容填写好相关信息后附在投标文件中。 7.本项目投标报价采用人民币元为单位，在《开标一览表》中“投标报价（元/%）”因系统格式问题无法调整，实际应为“投标报价（元）”；因第六章投标文件格式与要求为系统直接生成无法调整，请投标人根据本项目的实际情况、项目特点情况选用。 8.响应文件内证明材料：投标人所提供的证明材料复印件或扫描件须清晰可辨，明确反应相关响应的信息，否则可能导致其投标无效或被拒绝。 9.根据《佛山市财政局关于加强政府采购管理进一步优化政府采购营商环境的通知》（佛财采购函[2024]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广东信诚招标代理咨询有限公司佛山分公司</w:t>
      </w:r>
      <w:r>
        <w:rPr/>
        <w:t>代收。具体操作要求详见</w:t>
      </w:r>
      <w:r>
        <w:rPr/>
        <w:t>广东信诚招标代理咨询有限公司佛山分公司</w:t>
      </w:r>
      <w:r>
        <w:rPr/>
        <w:t>有关指引，递交事宜请自行咨询</w:t>
      </w:r>
      <w:r>
        <w:rPr/>
        <w:t>广东信诚招标代理咨询有限公司佛山分公司</w:t>
      </w:r>
      <w:r>
        <w:rPr/>
        <w:t>；请各投标人在投标文件递交截止时间前按须知前附表规定的金额递交至</w:t>
      </w:r>
      <w:r>
        <w:rPr/>
        <w:t>广东信诚招标代理咨询有限公司佛山分公司</w:t>
      </w:r>
      <w:r>
        <w:rPr/>
        <w:t>，到账情况以开标时</w:t>
      </w:r>
      <w:r>
        <w:rPr/>
        <w:t>广东信诚招标代理咨询有限公司佛山分公司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广东省公共资源交易平台（https://ygp.gdzwfw.gov.cn/ggzy-portal/#/440600/index），佛山市南海区人民政府网（http://www.nanhai.gov.cn/），广东信诚招标代理咨询有限公司（http://www.gdxczb.cn/）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广东省公共资源交易平台（https://ygp.gdzwfw.gov.cn/ggzy-portal/#/440600/index），佛山市南海区人民政府网（http://www.nanhai.gov.cn/），广东信诚招标代理咨询有限公司（http://www.gdxczb.cn/）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蔡先生</w:t>
      </w:r>
    </w:p>
    <w:p>
      <w:pPr>
        <w:pStyle w:val="null3"/>
        <w:ind w:firstLine="480"/>
      </w:pPr>
      <w:r>
        <w:rPr/>
        <w:t>电话：</w:t>
      </w:r>
      <w:r>
        <w:rPr/>
        <w:t>0757-85753190</w:t>
      </w:r>
    </w:p>
    <w:p>
      <w:pPr>
        <w:pStyle w:val="null3"/>
        <w:ind w:firstLine="480"/>
      </w:pPr>
      <w:r>
        <w:rPr/>
        <w:t>传真：</w:t>
      </w:r>
      <w:r>
        <w:rPr/>
        <w:t>/</w:t>
      </w:r>
    </w:p>
    <w:p>
      <w:pPr>
        <w:pStyle w:val="null3"/>
        <w:ind w:firstLine="480"/>
      </w:pPr>
      <w:r>
        <w:rPr/>
        <w:t>邮箱：</w:t>
      </w:r>
      <w:r>
        <w:rPr/>
        <w:t>gdxc@gdxczb.cn</w:t>
      </w:r>
    </w:p>
    <w:p>
      <w:pPr>
        <w:pStyle w:val="null3"/>
        <w:ind w:firstLine="480"/>
      </w:pPr>
      <w:r>
        <w:rPr/>
        <w:t>地址：</w:t>
      </w:r>
      <w:r>
        <w:rPr/>
        <w:t>佛山市南海区大沥镇广佛公路平地段38号万成广场A座2008室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采购包1(医疗业务智能协同服务平台)：综合评分法,是指投标文件满足招标文件全部实质性要求，且按照评审因素的量化指标评审得分最高的投标人为中标候选人的评标方法。（最低报价不是中标的唯一依据。）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广东信诚招标代理咨询有限公司佛山分公司</w:t>
      </w:r>
      <w:r>
        <w:rPr/>
        <w:t>统一对外发布。</w:t>
      </w:r>
    </w:p>
    <w:p>
      <w:pPr>
        <w:pStyle w:val="null3"/>
        <w:ind w:firstLine="480"/>
      </w:pPr>
      <w:r>
        <w:rPr/>
        <w:t>（2）对</w:t>
      </w:r>
      <w:r>
        <w:rPr/>
        <w:t>广东信诚招标代理咨询有限公司佛山分公司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采购包1（医疗业务智能协同服务平台）：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采购包1（医疗业务智能协同服务平台）：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投标人公章的《政府采购供应商资格信用承诺函》（详见招标公告附件）或提供以下资料：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投标人公章的《政府采购供应商资格信用承诺函》（详见招标公告附件）或提供以下资料：提供2024年度经审计的财务状况报告或基本开户行出具的资信证明或财政部门认可的政府采购专业担保机构出具的担保函,成立不足一年的单位可以提供投标截止前上一季度或月份财务会计报表；</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认定为200万元以上的罚款，法律、行政法规以及国务院有关部门明确规定相关领域“较大数额罚款”标准高于200万元的，从其规定。）；6）法律、行政法规规定的其他条件。</w:t>
            </w:r>
          </w:p>
        </w:tc>
      </w:tr>
      <w:tr>
        <w:tc>
          <w:tcPr>
            <w:tcW w:type="dxa" w:w="890"/>
          </w:tcPr>
          <w:p>
            <w:pPr>
              <w:pStyle w:val="null3"/>
            </w:pPr>
            <w:r>
              <w:rPr/>
              <w:t>6</w:t>
            </w:r>
          </w:p>
        </w:tc>
        <w:tc>
          <w:tcPr>
            <w:tcW w:type="dxa" w:w="3178"/>
          </w:tcPr>
          <w:p>
            <w:pPr>
              <w:pStyle w:val="null3"/>
            </w:pPr>
            <w:r>
              <w:rPr/>
              <w:t>信用中国</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参照投标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中小企业以供应商填写的《中小企业声明函(工程、服务)》（见招标文件格式）为判定标准，残疾人福利性单位以供应商提供的《残疾人福利性单位声明函》(见招标文件格式)为判定标准，监狱企业须供应商提供由省级以上监狱管理局、戒毒管理局(含新疆生产建设兵团)出具的属于监狱企业的证明文件。本项目的中小企业划分标准所属行业为：软件和信息技术服务业。</w:t>
            </w:r>
          </w:p>
        </w:tc>
      </w:tr>
    </w:tbl>
    <w:p>
      <w:pPr>
        <w:pStyle w:val="null3"/>
        <w:ind w:firstLine="480"/>
      </w:pPr>
      <w:r>
        <w:rPr/>
        <w:t>表二符合性审查表：</w:t>
      </w:r>
    </w:p>
    <w:p>
      <w:pPr>
        <w:pStyle w:val="null3"/>
      </w:pPr>
      <w:r>
        <w:rPr/>
        <w:t>采购包1（医疗业务智能协同服务平台）：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法定代表人（负责人）证明书、法定代表人（负责人）授权委托书按对应格式文件签署、盖章。</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投标报价未超出本项目该采购包的预算金额。</w:t>
            </w:r>
          </w:p>
        </w:tc>
      </w:tr>
      <w:tr>
        <w:tc>
          <w:tcPr>
            <w:tcW w:type="dxa" w:w="890"/>
          </w:tcPr>
          <w:p>
            <w:pPr>
              <w:pStyle w:val="null3"/>
            </w:pPr>
            <w:r>
              <w:rPr/>
              <w:t>6</w:t>
            </w:r>
          </w:p>
        </w:tc>
        <w:tc>
          <w:tcPr>
            <w:tcW w:type="dxa" w:w="3178"/>
          </w:tcPr>
          <w:p>
            <w:pPr>
              <w:pStyle w:val="null3"/>
            </w:pPr>
            <w:r>
              <w:rPr/>
              <w:t>“★”号实质性响应情况</w:t>
            </w:r>
          </w:p>
        </w:tc>
        <w:tc>
          <w:tcPr>
            <w:tcW w:type="dxa" w:w="4238"/>
          </w:tcPr>
          <w:p>
            <w:pPr>
              <w:pStyle w:val="null3"/>
            </w:pPr>
            <w:r>
              <w:rPr/>
              <w:t>投标文件完全满足招标文件的“★”号实质性条款。投标时须按要求填写（技术和服务要求响应表）及（商务条件响应表）（如有要求提供相关证明材料须按要求提供证明材料）。</w:t>
            </w:r>
          </w:p>
        </w:tc>
      </w:tr>
      <w:tr>
        <w:tc>
          <w:tcPr>
            <w:tcW w:type="dxa" w:w="890"/>
          </w:tcPr>
          <w:p>
            <w:pPr>
              <w:pStyle w:val="null3"/>
            </w:pPr>
            <w:r>
              <w:rPr/>
              <w:t>7</w:t>
            </w:r>
          </w:p>
        </w:tc>
        <w:tc>
          <w:tcPr>
            <w:tcW w:type="dxa" w:w="3178"/>
          </w:tcPr>
          <w:p>
            <w:pPr>
              <w:pStyle w:val="null3"/>
            </w:pPr>
            <w:r>
              <w:rPr/>
              <w:t>其它</w:t>
            </w:r>
          </w:p>
        </w:tc>
        <w:tc>
          <w:tcPr>
            <w:tcW w:type="dxa" w:w="4238"/>
          </w:tcPr>
          <w:p>
            <w:pPr>
              <w:pStyle w:val="null3"/>
            </w:pPr>
            <w:r>
              <w:rPr/>
              <w:t>投标文件中没有法律、法规和招标文件规定的其他无效情形。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采购包1(医疗业务智能协同服务平台):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商务部分28.0分</w:t>
            </w:r>
          </w:p>
          <w:p>
            <w:pPr>
              <w:pStyle w:val="null3"/>
            </w:pPr>
            <w:r>
              <w:rPr/>
              <w:t>技术部分42.0分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(20.0分)</w:t>
            </w:r>
          </w:p>
        </w:tc>
        <w:tc>
          <w:tcPr>
            <w:tcW w:type="dxa" w:w="5076"/>
          </w:tcPr>
          <w:p>
            <w:pPr>
              <w:pStyle w:val="null3"/>
              <w:jc w:val="left"/>
            </w:pPr>
            <w:r>
              <w:rPr/>
              <w:t>投标人对“第二章 采购需求”的“附表一”的“（三）采购清单及要求”的功能参数进行逐条响应： 1.对技术要求中24项带“▲”的重要技术参数进行逐一响应，每满足1项得0.5分，本小项共12分。 2.对技术要求中81项非“▲”的一般技术参数进行逐一响应，本小项共8分，投标人本小项得分=投标人响应带非“▲”项数/81项×8分（保留小数点后两位）。 注：（1）以参数要求中序号最细的（如1.为最细序号）作为一项参数；（2）针对带“▲”的重要技术参数，投标人在投标文件中除了需做出相应技术响应外，还需提供相关软件功能截图，如不响应或不提供功能截图或响应的内容不满足参数要求，则视为负偏离；（3）针对非“▲”的一般技术参数，投标人需在投标文件中做出相应技术响应，如不响应或响应的内容不满足参数要求，则视为负偏离。</w:t>
            </w:r>
          </w:p>
        </w:tc>
      </w:tr>
      <w:tr>
        <w:tc>
          <w:tcPr>
            <w:tcW w:type="dxa" w:w="922"/>
            <w:gridSpan w:val="2"/>
            <w:vMerge/>
          </w:tcPr>
          <w:p/>
        </w:tc>
        <w:tc>
          <w:tcPr>
            <w:tcW w:type="dxa" w:w="2307"/>
          </w:tcPr>
          <w:p>
            <w:pPr>
              <w:pStyle w:val="null3"/>
              <w:jc w:val="left"/>
            </w:pPr>
            <w:r>
              <w:rPr/>
              <w:t>技术设计方案 (8.0分)</w:t>
            </w:r>
          </w:p>
        </w:tc>
        <w:tc>
          <w:tcPr>
            <w:tcW w:type="dxa" w:w="5076"/>
          </w:tcPr>
          <w:p>
            <w:pPr>
              <w:pStyle w:val="null3"/>
              <w:jc w:val="left"/>
            </w:pPr>
            <w:r>
              <w:rPr/>
              <w:t>投标人根据“第二章 采购需求”的“附表一”的“（五）其他服务方案要求”内容提供的技术设计方案进行评审： 1.技术设计方案完全满足且优于采购需求的，得8分； 2.技术设计方案完全满足采购需求的，得4分； 3.技术设计方案部分满足采购需求的，得1分； 4.不提供或其他情况，得0分。</w:t>
            </w:r>
          </w:p>
        </w:tc>
      </w:tr>
      <w:tr>
        <w:tc>
          <w:tcPr>
            <w:tcW w:type="dxa" w:w="922"/>
            <w:gridSpan w:val="2"/>
            <w:vMerge/>
          </w:tcPr>
          <w:p/>
        </w:tc>
        <w:tc>
          <w:tcPr>
            <w:tcW w:type="dxa" w:w="2307"/>
          </w:tcPr>
          <w:p>
            <w:pPr>
              <w:pStyle w:val="null3"/>
              <w:jc w:val="left"/>
            </w:pPr>
            <w:r>
              <w:rPr/>
              <w:t>实施服务方案 (6.0分)</w:t>
            </w:r>
          </w:p>
        </w:tc>
        <w:tc>
          <w:tcPr>
            <w:tcW w:type="dxa" w:w="5076"/>
          </w:tcPr>
          <w:p>
            <w:pPr>
              <w:pStyle w:val="null3"/>
              <w:jc w:val="left"/>
            </w:pPr>
            <w:r>
              <w:rPr/>
              <w:t>投标人根据“第二章 采购需求”的“附表一”的“（五）其他服务方案要求”内容提供的实施服务方案进行评审： 1.实施服务方案完全满足且优于采购需求的，得6分； 2.实施服务方案完全满足采购需求的，得3分； 3.实施服务方案部分满足采购需求的，得1分； 4.不提供或其他情况，得0分。</w:t>
            </w:r>
          </w:p>
        </w:tc>
      </w:tr>
      <w:tr>
        <w:tc>
          <w:tcPr>
            <w:tcW w:type="dxa" w:w="922"/>
            <w:gridSpan w:val="2"/>
            <w:vMerge/>
          </w:tcPr>
          <w:p/>
        </w:tc>
        <w:tc>
          <w:tcPr>
            <w:tcW w:type="dxa" w:w="2307"/>
          </w:tcPr>
          <w:p>
            <w:pPr>
              <w:pStyle w:val="null3"/>
              <w:jc w:val="left"/>
            </w:pPr>
            <w:r>
              <w:rPr/>
              <w:t>售后服务与运维方案 (8.0分)</w:t>
            </w:r>
          </w:p>
        </w:tc>
        <w:tc>
          <w:tcPr>
            <w:tcW w:type="dxa" w:w="5076"/>
          </w:tcPr>
          <w:p>
            <w:pPr>
              <w:pStyle w:val="null3"/>
              <w:jc w:val="left"/>
            </w:pPr>
            <w:r>
              <w:rPr/>
              <w:t>投标人根据“第二章 采购需求”的“附表一”的“（五）其他服务方案要求”内容提供的售后服务与运维方案进行评审： 1.售后服务与运维方案完全满足且优于采购需求的，得8分； 2.售后服务与运维方案完全满足采购需求的，得4分； 3.售后服务与运维方案部分满足采购需求的，得1分； 4.不提供或其他情况，得0分。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企业管理体系能力建设 (3.0分)</w:t>
            </w:r>
          </w:p>
        </w:tc>
        <w:tc>
          <w:tcPr>
            <w:tcW w:type="dxa" w:w="5076"/>
          </w:tcPr>
          <w:p>
            <w:pPr>
              <w:pStyle w:val="null3"/>
              <w:jc w:val="left"/>
            </w:pPr>
            <w:r>
              <w:rPr/>
              <w:t>管理体系能力建设： 1.投标人具有有效的质量管理体系认证证书，得1分； 2.投标人具有有效的信息安全管理体系认证证书，得1分； 3.投标人具有有效的信息技术服务管理体系认证证书，得1分； 本项累计最高得3分。 注： （1）须提供相关证书复印件或扫描件作证明材料并加盖投标人公章。 （2）如投标人成立时间不足3个月（时间以投标人营业执照上的成立/注册日期至响应截止当天计算）导致未能获得认证证书的，提供声明函(格式自拟)，视为满足该项评分。不提供不得分。</w:t>
            </w:r>
          </w:p>
        </w:tc>
      </w:tr>
      <w:tr>
        <w:tc>
          <w:tcPr>
            <w:tcW w:type="dxa" w:w="922"/>
            <w:gridSpan w:val="2"/>
            <w:vMerge/>
          </w:tcPr>
          <w:p/>
        </w:tc>
        <w:tc>
          <w:tcPr>
            <w:tcW w:type="dxa" w:w="2307"/>
          </w:tcPr>
          <w:p>
            <w:pPr>
              <w:pStyle w:val="null3"/>
              <w:jc w:val="left"/>
            </w:pPr>
            <w:r>
              <w:rPr/>
              <w:t>数据安全能力认证 (2.0分)</w:t>
            </w:r>
          </w:p>
        </w:tc>
        <w:tc>
          <w:tcPr>
            <w:tcW w:type="dxa" w:w="5076"/>
          </w:tcPr>
          <w:p>
            <w:pPr>
              <w:pStyle w:val="null3"/>
              <w:jc w:val="left"/>
            </w:pPr>
            <w:r>
              <w:rPr/>
              <w:t>数据安全能力认证： 投标人具有有效期内的数据安全能力成熟度等级证书，并达到二级或以上的，得2分 注：须提供相关证书复印件/扫描件并加盖投标人公章，不提供不得分。</w:t>
            </w:r>
          </w:p>
        </w:tc>
      </w:tr>
      <w:tr>
        <w:tc>
          <w:tcPr>
            <w:tcW w:type="dxa" w:w="922"/>
            <w:gridSpan w:val="2"/>
            <w:vMerge/>
          </w:tcPr>
          <w:p/>
        </w:tc>
        <w:tc>
          <w:tcPr>
            <w:tcW w:type="dxa" w:w="2307"/>
          </w:tcPr>
          <w:p>
            <w:pPr>
              <w:pStyle w:val="null3"/>
              <w:jc w:val="left"/>
            </w:pPr>
            <w:r>
              <w:rPr/>
              <w:t>AI（人工智能）建设能力 (6.0分)</w:t>
            </w:r>
          </w:p>
        </w:tc>
        <w:tc>
          <w:tcPr>
            <w:tcW w:type="dxa" w:w="5076"/>
          </w:tcPr>
          <w:p>
            <w:pPr>
              <w:pStyle w:val="null3"/>
              <w:jc w:val="left"/>
            </w:pPr>
            <w:r>
              <w:rPr/>
              <w:t>1.投标人通过人工智能管理体系认证（如ISO/IEC 42001或同等标准），获得认证证书的，得2分。 注： （1）需提供有效期内的证书复印件/扫描件作证明材料并加盖投标人公章。 （2）如投标人成立时间不足3个月（时间以投标人营业执照上的成立/注册日期至响应截止当天计算）导致未能获得认证证书的，提供声明函(格式自拟)，视为满足该项评分。不提供不得分。 2.投标人自身拥有并对外提供服务的生成式人工智能服务已完成国家互联网信息办公室生成式人工智能服务备案的，得2分。 注：（1）须提供相应网信部门官方备案公示平台（如国家网信办官网）备案信息清晰截图，并加盖投标人公章。 3.投标人自身拥有并应用于其服务的、与医疗健康领域直接相关的人工智能算法，已完成国家互联网信息办公室互联网信息服务算法备案的，得2分。 注：（1）须提供“互联网信息服务算法备案系统”（https://beian.cac.gov.cn）上该算法备案信息清晰截图，并加盖投标人公章。</w:t>
            </w:r>
          </w:p>
        </w:tc>
      </w:tr>
      <w:tr>
        <w:tc>
          <w:tcPr>
            <w:tcW w:type="dxa" w:w="922"/>
            <w:gridSpan w:val="2"/>
            <w:vMerge/>
          </w:tcPr>
          <w:p/>
        </w:tc>
        <w:tc>
          <w:tcPr>
            <w:tcW w:type="dxa" w:w="2307"/>
          </w:tcPr>
          <w:p>
            <w:pPr>
              <w:pStyle w:val="null3"/>
              <w:jc w:val="left"/>
            </w:pPr>
            <w:r>
              <w:rPr/>
              <w:t>拟派项目负责人情况 (3.0分)</w:t>
            </w:r>
          </w:p>
        </w:tc>
        <w:tc>
          <w:tcPr>
            <w:tcW w:type="dxa" w:w="5076"/>
          </w:tcPr>
          <w:p>
            <w:pPr>
              <w:pStyle w:val="null3"/>
              <w:jc w:val="left"/>
            </w:pPr>
            <w:r>
              <w:rPr/>
              <w:t>拟投入本项目的项目负责人（仅限1人得分）：每满足1项得1分。本小项最高得3分。 1.具有计算机相关专业本科或以上学历证书； 2.具有信息系统项目管理师证书（人社部颁发或人社部与工信部颁发）； 3.具有软件评测师证书（人社部颁发或人社部与工信部颁发）。 注：（1）提供项目管理机构人员组成表（格式自拟）及学历证书、资格证书复印件或扫描件。 （2）提供以上人员在投标截止时间前6个月内任意1个月通过投标人缴纳的社保记录（社保部门证明或社保部门官方网站查询结果页面截图）证明文件并加盖投标人公章。</w:t>
            </w:r>
          </w:p>
        </w:tc>
      </w:tr>
      <w:tr>
        <w:tc>
          <w:tcPr>
            <w:tcW w:type="dxa" w:w="922"/>
            <w:gridSpan w:val="2"/>
            <w:vMerge/>
          </w:tcPr>
          <w:p/>
        </w:tc>
        <w:tc>
          <w:tcPr>
            <w:tcW w:type="dxa" w:w="2307"/>
          </w:tcPr>
          <w:p>
            <w:pPr>
              <w:pStyle w:val="null3"/>
              <w:jc w:val="left"/>
            </w:pPr>
            <w:r>
              <w:rPr/>
              <w:t>拟派技术负责人情况 (1.0分)</w:t>
            </w:r>
          </w:p>
        </w:tc>
        <w:tc>
          <w:tcPr>
            <w:tcW w:type="dxa" w:w="5076"/>
          </w:tcPr>
          <w:p>
            <w:pPr>
              <w:pStyle w:val="null3"/>
              <w:jc w:val="left"/>
            </w:pPr>
            <w:r>
              <w:rPr/>
              <w:t>拟投入本项目的技术负责人（仅限1人得分）：具有信息系统项目管理师证书（人社部颁发或人社部与工信部颁发）的，得1分。注：（1）提供项目管理机构人员组成表（格式自拟）及资格证书复印件或扫描件。 （2）提供以上人员在投标截止时间前6个月内任意1个月通过投标人缴纳的社保记录（社保部门证明或社保部门官方网站查询结果页面截图）证明文件并加盖投标人公章。（3）技术负责人与项目负责人不得兼任。</w:t>
            </w:r>
          </w:p>
        </w:tc>
      </w:tr>
      <w:tr>
        <w:tc>
          <w:tcPr>
            <w:tcW w:type="dxa" w:w="922"/>
            <w:gridSpan w:val="2"/>
            <w:vMerge/>
          </w:tcPr>
          <w:p/>
        </w:tc>
        <w:tc>
          <w:tcPr>
            <w:tcW w:type="dxa" w:w="2307"/>
          </w:tcPr>
          <w:p>
            <w:pPr>
              <w:pStyle w:val="null3"/>
              <w:jc w:val="left"/>
            </w:pPr>
            <w:r>
              <w:rPr/>
              <w:t>拟派项目团队其他成员情况 (4.0分)</w:t>
            </w:r>
          </w:p>
        </w:tc>
        <w:tc>
          <w:tcPr>
            <w:tcW w:type="dxa" w:w="5076"/>
          </w:tcPr>
          <w:p>
            <w:pPr>
              <w:pStyle w:val="null3"/>
              <w:jc w:val="left"/>
            </w:pPr>
            <w:r>
              <w:rPr/>
              <w:t>拟投入本项目的团队其他人员（项目负责人、技术负责人除外）资格证书情况： 1.具有信息系统项目管理师证书（人社部颁发或人社部与工信部颁发）的，每人得1.5分；2.软件评测师证书（人社部颁发或人社部与工信部颁发）的，每人得1分；3.软件设计师证书（人社部颁发或人社部与工信部颁发）的，每人得1分；4.系统集成项目管理工程师证书（人社部颁发或人社部与工信部颁发）的，每人得1分；5.网络工程师证书（人社部颁发或人社部与工信部颁发）的，每人得1分。 本项累计最高得4分。 注：（1）提供项目管理机构人员组成表（格式自拟）及资格证书复印件/扫描件； （2）如一人具有多个证书的，按最高级别证书计分，不重复计分； （3）提供以上人员在在投标截止时间前6个月内任意1个月通过投标人缴纳的社保记录（社保部门证明或社保部门官方网站查询结果页面截图）证明文件扫描件并加盖投标人公章。</w:t>
            </w:r>
          </w:p>
        </w:tc>
      </w:tr>
      <w:tr>
        <w:tc>
          <w:tcPr>
            <w:tcW w:type="dxa" w:w="922"/>
            <w:gridSpan w:val="2"/>
            <w:vMerge/>
          </w:tcPr>
          <w:p/>
        </w:tc>
        <w:tc>
          <w:tcPr>
            <w:tcW w:type="dxa" w:w="2307"/>
          </w:tcPr>
          <w:p>
            <w:pPr>
              <w:pStyle w:val="null3"/>
              <w:jc w:val="left"/>
            </w:pPr>
            <w:r>
              <w:rPr/>
              <w:t>投标人自主知识产权 (4.0分)</w:t>
            </w:r>
          </w:p>
        </w:tc>
        <w:tc>
          <w:tcPr>
            <w:tcW w:type="dxa" w:w="5076"/>
          </w:tcPr>
          <w:p>
            <w:pPr>
              <w:pStyle w:val="null3"/>
              <w:jc w:val="left"/>
            </w:pPr>
            <w:r>
              <w:rPr/>
              <w:t>投标人具有与AI导诊软件系统类、智能问答软件类、数据可视化平台类、运营管理平台类等相关的软件著作权登记证书，每提供1类证书得1分（多份同类证书只得1分），本项最高得4分。 注：提供有效的软件著作权证书复印件/扫描件并加盖投标人公章。</w:t>
            </w:r>
          </w:p>
        </w:tc>
      </w:tr>
      <w:tr>
        <w:tc>
          <w:tcPr>
            <w:tcW w:type="dxa" w:w="922"/>
            <w:gridSpan w:val="2"/>
            <w:vMerge/>
          </w:tcPr>
          <w:p/>
        </w:tc>
        <w:tc>
          <w:tcPr>
            <w:tcW w:type="dxa" w:w="2307"/>
          </w:tcPr>
          <w:p>
            <w:pPr>
              <w:pStyle w:val="null3"/>
              <w:jc w:val="left"/>
            </w:pPr>
            <w:r>
              <w:rPr/>
              <w:t>类似项目的业绩经验 (5.0分)</w:t>
            </w:r>
          </w:p>
        </w:tc>
        <w:tc>
          <w:tcPr>
            <w:tcW w:type="dxa" w:w="5076"/>
          </w:tcPr>
          <w:p>
            <w:pPr>
              <w:pStyle w:val="null3"/>
              <w:jc w:val="left"/>
            </w:pPr>
            <w:r>
              <w:rPr/>
              <w:t>1.自2022年1月1日起（以合同签订时间为准），投标人具有独立完成（非联合体）过软件开发类项目业绩，每提供一项得1分，满分3分。 2.自2022年1月1日起（以合同签订时间为准），投标人具有独立完成（非联合体）的AI系统/软件开发业绩的，每提供一项得1分，满分2分。 注：（1）需提供业绩合同关键页扫描件（至少提供合同封面、主要内容页、签字盖章页）并加盖投标人公章，资料不全不得分。（2）同一项目只能按一类业绩计算。</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rPr>
        <w:t>佛山市政府采购项目</w:t>
      </w:r>
    </w:p>
    <w:p>
      <w:pPr>
        <w:pStyle w:val="null3"/>
        <w:jc w:val="center"/>
      </w:pPr>
      <w:r>
        <w:rPr>
          <w:sz w:val="56"/>
        </w:rPr>
        <w:t>合同书</w:t>
      </w:r>
    </w:p>
    <w:p>
      <w:pPr>
        <w:pStyle w:val="null3"/>
        <w:ind w:firstLine="480"/>
        <w:jc w:val="center"/>
      </w:pPr>
      <w:r>
        <w:rPr/>
        <w:t xml:space="preserve"> </w:t>
      </w:r>
    </w:p>
    <w:p>
      <w:pPr>
        <w:pStyle w:val="null3"/>
        <w:ind w:firstLine="480"/>
        <w:jc w:val="center"/>
      </w:pPr>
      <w:r>
        <w:rPr/>
        <w:t xml:space="preserve"> </w:t>
      </w:r>
    </w:p>
    <w:p>
      <w:pPr>
        <w:pStyle w:val="null3"/>
        <w:ind w:firstLine="2409"/>
        <w:jc w:val="both"/>
      </w:pPr>
      <w:r>
        <w:rPr>
          <w:sz w:val="24"/>
          <w:b/>
        </w:rPr>
        <w:t>项目编号：</w:t>
      </w:r>
    </w:p>
    <w:p>
      <w:pPr>
        <w:pStyle w:val="null3"/>
        <w:ind w:firstLine="2409"/>
        <w:jc w:val="both"/>
      </w:pPr>
      <w:r>
        <w:rPr>
          <w:sz w:val="24"/>
          <w:b/>
        </w:rPr>
        <w:t>项目名称：</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2238"/>
        <w:gridCol w:w="6068"/>
      </w:tblGrid>
      <w:tr>
        <w:tc>
          <w:tcPr>
            <w:tcW w:type="dxa" w:w="223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甲方：</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u w:val="single"/>
              </w:rPr>
              <w:t>采购人名称</w:t>
            </w:r>
          </w:p>
        </w:tc>
      </w:tr>
      <w:tr>
        <w:tc>
          <w:tcPr>
            <w:tcW w:type="dxa" w:w="223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乙方：</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u w:val="single"/>
              </w:rPr>
              <w:t>（中标/成交供应商名称）</w:t>
            </w:r>
          </w:p>
        </w:tc>
      </w:tr>
      <w:tr>
        <w:tc>
          <w:tcPr>
            <w:tcW w:type="dxa" w:w="223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rPr>
              <w:t>签订日期：</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ind w:firstLine="380"/>
              <w:jc w:val="center"/>
            </w:pPr>
            <w:r>
              <w:rPr>
                <w:sz w:val="24"/>
                <w:u w:val="single"/>
              </w:rPr>
              <w:t>年月日</w:t>
            </w:r>
          </w:p>
        </w:tc>
      </w:tr>
      <w:tr>
        <w:tc>
          <w:tcPr>
            <w:tcW w:type="dxa" w:w="223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24"/>
                <w:b/>
              </w:rPr>
              <w:t>合同性质：</w:t>
            </w:r>
          </w:p>
        </w:tc>
        <w:tc>
          <w:tcPr>
            <w:tcW w:type="dxa" w:w="6068"/>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24"/>
                <w:u w:val="single"/>
              </w:rPr>
              <w:t>本合同为中小企业预留合同</w:t>
            </w:r>
          </w:p>
        </w:tc>
      </w:tr>
    </w:tbl>
    <w:p>
      <w:pPr>
        <w:pStyle w:val="null3"/>
      </w:pPr>
      <w:r>
        <w:rPr/>
        <w:t xml:space="preserve"> </w:t>
      </w:r>
    </w:p>
    <w:p>
      <w:pPr>
        <w:pStyle w:val="null3"/>
        <w:jc w:val="both"/>
      </w:pPr>
      <w:r>
        <w:rPr/>
        <w:t xml:space="preserve">  </w:t>
      </w:r>
    </w:p>
    <w:p>
      <w:pPr>
        <w:pStyle w:val="null3"/>
        <w:jc w:val="both"/>
      </w:pPr>
      <w:r>
        <w:rPr>
          <w:sz w:val="21"/>
        </w:rPr>
        <w:t>根据《中华人民共和国政府采购法》《中华人民共和国民法典》和本项目采购文件的要求，经双方协商，本着平等互利和诚实信用的原则，一致同意签订本合同如下。</w:t>
      </w:r>
    </w:p>
    <w:p>
      <w:pPr>
        <w:pStyle w:val="null3"/>
        <w:ind w:firstLine="420"/>
        <w:jc w:val="both"/>
      </w:pPr>
      <w:r>
        <w:rPr>
          <w:sz w:val="21"/>
          <w:b/>
        </w:rPr>
        <w:t>一、项目主要内容及实现功能目标：</w:t>
      </w:r>
    </w:p>
    <w:p>
      <w:pPr>
        <w:pStyle w:val="null3"/>
        <w:ind w:firstLine="480"/>
        <w:jc w:val="both"/>
      </w:pPr>
      <w:r>
        <w:rPr>
          <w:sz w:val="21"/>
        </w:rPr>
        <w:t>1.项目概况</w:t>
      </w:r>
    </w:p>
    <w:p>
      <w:pPr>
        <w:pStyle w:val="null3"/>
        <w:ind w:firstLine="480"/>
        <w:jc w:val="both"/>
      </w:pPr>
      <w:r>
        <w:rPr>
          <w:sz w:val="21"/>
        </w:rPr>
        <w:t>佛山大学附属第三医院由佛山市南海区第五人民医院、第六人民医院、第七人民医院三个院区合并而成，共计拥有1620张床位，年门诊量300万人次以上。目前三院区仍使用各自微信公众号为患者提供有限服务，各系统分散、数据互通障碍、患者体验碎片化等问题成为当下亟待解决的问题。由于各院区微信公众号系统独立运营，患者在跨院区就诊时不得不重复注册账户、多次录入信息，导致医疗服务体验不连贯。</w:t>
      </w:r>
    </w:p>
    <w:p>
      <w:pPr>
        <w:pStyle w:val="null3"/>
        <w:ind w:firstLine="480"/>
        <w:jc w:val="both"/>
      </w:pPr>
      <w:r>
        <w:rPr>
          <w:sz w:val="21"/>
        </w:rPr>
        <w:t>根据医院实际工作需要，为进一步服务患者，提升患者就医体验，需将医院互联网诊疗与线下服务互通融合，实现线上线下实时交互，为患者提供全方位就医服务体验。逐步提供和完善线上、线下衔接服务功能，乙方必须无条件配合甲方完成与院内已有的HIS、LIS、PACS、合理用药等基础业务系统深度对接。</w:t>
      </w:r>
    </w:p>
    <w:p>
      <w:pPr>
        <w:pStyle w:val="null3"/>
        <w:ind w:firstLine="480"/>
        <w:jc w:val="both"/>
      </w:pPr>
      <w:r>
        <w:rPr>
          <w:sz w:val="21"/>
        </w:rPr>
        <w:t>佛山市南海区第五人民医院、第六人民医院、第七人民医院现有系统情况：</w:t>
      </w:r>
    </w:p>
    <w:p>
      <w:pPr>
        <w:pStyle w:val="null3"/>
        <w:ind w:firstLine="480"/>
        <w:jc w:val="both"/>
      </w:pPr>
      <w:r>
        <w:rPr>
          <w:sz w:val="21"/>
        </w:rPr>
        <w:t>（1）佛山市南海区第五人民医院：</w:t>
      </w:r>
    </w:p>
    <w:p>
      <w:pPr>
        <w:pStyle w:val="null3"/>
        <w:ind w:firstLine="480"/>
        <w:jc w:val="both"/>
      </w:pPr>
      <w:r>
        <w:rPr>
          <w:sz w:val="21"/>
        </w:rPr>
        <w:t>1）HIS系统（厂家名称：成都信通网易医疗科技发展有限公司）</w:t>
      </w:r>
    </w:p>
    <w:p>
      <w:pPr>
        <w:pStyle w:val="null3"/>
        <w:ind w:firstLine="480"/>
        <w:jc w:val="both"/>
      </w:pPr>
      <w:r>
        <w:rPr>
          <w:sz w:val="21"/>
        </w:rPr>
        <w:t>2）PACS系统（厂家名称：深圳成电金盘健康数据技术有限公司）</w:t>
      </w:r>
    </w:p>
    <w:p>
      <w:pPr>
        <w:pStyle w:val="null3"/>
        <w:ind w:firstLine="480"/>
        <w:jc w:val="both"/>
      </w:pPr>
      <w:r>
        <w:rPr>
          <w:sz w:val="21"/>
        </w:rPr>
        <w:t>3）LIS系统（厂家名称：上海杏和软件有限公司）</w:t>
      </w:r>
    </w:p>
    <w:p>
      <w:pPr>
        <w:pStyle w:val="null3"/>
        <w:ind w:firstLine="480"/>
        <w:jc w:val="both"/>
      </w:pPr>
      <w:r>
        <w:rPr>
          <w:sz w:val="21"/>
        </w:rPr>
        <w:t>（2）佛山市南海区第六人民医院：</w:t>
      </w:r>
    </w:p>
    <w:p>
      <w:pPr>
        <w:pStyle w:val="null3"/>
        <w:ind w:firstLine="480"/>
        <w:jc w:val="both"/>
      </w:pPr>
      <w:r>
        <w:rPr>
          <w:sz w:val="21"/>
        </w:rPr>
        <w:t>1）HIS系统（厂家名称：金医慧通科技有限公司）</w:t>
      </w:r>
    </w:p>
    <w:p>
      <w:pPr>
        <w:pStyle w:val="null3"/>
        <w:ind w:firstLine="480"/>
        <w:jc w:val="both"/>
      </w:pPr>
      <w:r>
        <w:rPr>
          <w:sz w:val="21"/>
        </w:rPr>
        <w:t>2）PACS系统（厂家名称：深圳成电金盘健康数据技术有限公司）</w:t>
      </w:r>
    </w:p>
    <w:p>
      <w:pPr>
        <w:pStyle w:val="null3"/>
        <w:ind w:firstLine="480"/>
        <w:jc w:val="both"/>
      </w:pPr>
      <w:r>
        <w:rPr>
          <w:sz w:val="21"/>
        </w:rPr>
        <w:t>3）LIS系统（厂家名称：上海杏和软件有限公司）</w:t>
      </w:r>
    </w:p>
    <w:p>
      <w:pPr>
        <w:pStyle w:val="null3"/>
        <w:ind w:firstLine="480"/>
        <w:jc w:val="both"/>
      </w:pPr>
      <w:r>
        <w:rPr>
          <w:sz w:val="21"/>
        </w:rPr>
        <w:t>（3）佛山市南海区第七人民医院：</w:t>
      </w:r>
    </w:p>
    <w:p>
      <w:pPr>
        <w:pStyle w:val="null3"/>
        <w:ind w:firstLine="480"/>
        <w:jc w:val="both"/>
      </w:pPr>
      <w:r>
        <w:rPr>
          <w:sz w:val="21"/>
        </w:rPr>
        <w:t>1）HIS系统（厂家名称：成都信通网易医疗科技发展有限公）</w:t>
      </w:r>
    </w:p>
    <w:p>
      <w:pPr>
        <w:pStyle w:val="null3"/>
        <w:ind w:firstLine="480"/>
        <w:jc w:val="both"/>
      </w:pPr>
      <w:r>
        <w:rPr>
          <w:sz w:val="21"/>
        </w:rPr>
        <w:t>2）PACS系统（厂家名称：深圳成电金盘健康数据技术有限公司）</w:t>
      </w:r>
    </w:p>
    <w:p>
      <w:pPr>
        <w:pStyle w:val="null3"/>
        <w:ind w:firstLine="480"/>
        <w:jc w:val="both"/>
      </w:pPr>
      <w:r>
        <w:rPr>
          <w:sz w:val="21"/>
        </w:rPr>
        <w:t>3）LIS系统（厂家名称：上海杏和软件有限公司）</w:t>
      </w:r>
    </w:p>
    <w:p>
      <w:pPr>
        <w:pStyle w:val="null3"/>
        <w:ind w:firstLine="480"/>
        <w:jc w:val="both"/>
      </w:pPr>
      <w:r>
        <w:rPr>
          <w:sz w:val="21"/>
        </w:rPr>
        <w:t>2.项目服务的目标</w:t>
      </w:r>
    </w:p>
    <w:p>
      <w:pPr>
        <w:pStyle w:val="null3"/>
        <w:ind w:firstLine="480"/>
        <w:jc w:val="both"/>
      </w:pPr>
      <w:r>
        <w:rPr>
          <w:sz w:val="21"/>
        </w:rPr>
        <w:t>通过招标形式选出具有技术实力的合作公司与甲方以共同研发的形式，一起共建一套适合医院实际工作需要的智慧平台产品。乙方提供技术支持，医院提供具体场景应用需求和资金。</w:t>
      </w:r>
    </w:p>
    <w:p>
      <w:pPr>
        <w:pStyle w:val="null3"/>
        <w:ind w:firstLine="480"/>
        <w:jc w:val="both"/>
      </w:pPr>
      <w:r>
        <w:rPr>
          <w:sz w:val="21"/>
        </w:rPr>
        <w:t>双方共同研发，乙方向甲方提供全套软件产品源码和技术文档，甲方有权在源码基础上进行再次开发，或用于与其他合作公司合作与共享。此次乙方需要协助医院实现以下目标。</w:t>
      </w:r>
    </w:p>
    <w:p>
      <w:pPr>
        <w:pStyle w:val="null3"/>
        <w:ind w:firstLine="480"/>
        <w:jc w:val="both"/>
      </w:pPr>
      <w:r>
        <w:rPr>
          <w:sz w:val="21"/>
        </w:rPr>
        <w:t>业务统一：实现三院区挂号、缴费、报告查询等核心服务统一入口。</w:t>
      </w:r>
    </w:p>
    <w:p>
      <w:pPr>
        <w:pStyle w:val="null3"/>
        <w:ind w:firstLine="480"/>
        <w:jc w:val="both"/>
      </w:pPr>
      <w:r>
        <w:rPr>
          <w:sz w:val="21"/>
        </w:rPr>
        <w:t>数据整合：建立跨院区患者主索引，统一临床、管理数据标准；</w:t>
      </w:r>
    </w:p>
    <w:p>
      <w:pPr>
        <w:pStyle w:val="null3"/>
        <w:ind w:firstLine="480"/>
        <w:jc w:val="both"/>
      </w:pPr>
      <w:r>
        <w:rPr>
          <w:sz w:val="21"/>
        </w:rPr>
        <w:t>体验升级：提供智能导诊、AI报告解读、医保移动支付等创新服务；</w:t>
      </w:r>
    </w:p>
    <w:p>
      <w:pPr>
        <w:pStyle w:val="null3"/>
        <w:ind w:firstLine="480"/>
        <w:jc w:val="both"/>
      </w:pPr>
      <w:r>
        <w:rPr>
          <w:sz w:val="21"/>
        </w:rPr>
        <w:t>效率提升：简便患者在门诊和住院的业务办理，缩短患者就诊等待时间。</w:t>
      </w:r>
    </w:p>
    <w:p>
      <w:pPr>
        <w:pStyle w:val="null3"/>
        <w:ind w:firstLine="480"/>
        <w:jc w:val="both"/>
      </w:pPr>
      <w:r>
        <w:rPr>
          <w:sz w:val="21"/>
        </w:rPr>
        <w:t>管理协同：建立统一后台管理，支持多院区资源动态调配。</w:t>
      </w:r>
    </w:p>
    <w:p>
      <w:pPr>
        <w:pStyle w:val="null3"/>
        <w:ind w:firstLine="480"/>
        <w:jc w:val="both"/>
      </w:pPr>
      <w:r>
        <w:rPr>
          <w:sz w:val="21"/>
        </w:rPr>
        <w:t>3.采购清单及要求</w:t>
      </w:r>
    </w:p>
    <w:tbl>
      <w:tblPr>
        <w:tblW w:w="0" w:type="auto"/>
        <w:tblBorders>
          <w:top w:val="none" w:color="000000" w:sz="4"/>
          <w:left w:val="none" w:color="000000" w:sz="4"/>
          <w:bottom w:val="none" w:color="000000" w:sz="4"/>
          <w:right w:val="none" w:color="000000" w:sz="4"/>
          <w:insideH w:val="none"/>
          <w:insideV w:val="none"/>
        </w:tblBorders>
      </w:tblPr>
      <w:tblGrid>
        <w:gridCol w:w="1862"/>
        <w:gridCol w:w="1637"/>
        <w:gridCol w:w="4806"/>
      </w:tblGrid>
      <w:tr>
        <w:tc>
          <w:tcPr>
            <w:tcW w:type="dxa" w:w="18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主模块</w:t>
            </w:r>
          </w:p>
        </w:tc>
        <w:tc>
          <w:tcPr>
            <w:tcW w:type="dxa" w:w="16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功能细项</w:t>
            </w:r>
          </w:p>
        </w:tc>
        <w:tc>
          <w:tcPr>
            <w:tcW w:type="dxa" w:w="48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功能要求</w:t>
            </w:r>
          </w:p>
        </w:tc>
      </w:tr>
      <w:tr>
        <w:tc>
          <w:tcPr>
            <w:tcW w:type="dxa" w:w="18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统一入口服务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多院区支持</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1.多院区统一入口，可自主选择院区进行挂号、缴费、报告查询等服务；</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公共服务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医院简介</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1.介绍医院的基本情况，便于患者对医院进行了解。</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楼层分布</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2.为患者提供医院楼层科室分布信息。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医院动态</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3.系统可发布相关信息，推送医院最新新闻等动态信息。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专家介绍</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4.介绍各科室专家医生擅长诊治的疾病、简历等信息。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就诊指南</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5.用户可以在手机端查询就诊指南、就诊流程注意事项等。</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来院导航</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6.通过链接第三方导航系统，患者可查看医院位置信息，可直接为患者提供来院导航服务。</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智慧门诊服务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智能导诊</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1.可通过人体结构体等方式为患者提供智能导诊功能，患者可通过点击人体结构图，进行病症选择，选择完成后，系统可为患者推荐挂号科室。</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当天挂号</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2.患者可查看当天号源信息，支持患者对当天医院开放号源进行分时段预约挂号。</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预约挂号</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3.患者可查看最少未来7天的号源信息，支持患者对未来几天医院开放号源进行分时段预约。</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挂号缴费</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4.患者挂号完成后，支持进行线上缴费。在对接医保之前支持自费支付，对接医保之后，支持医保移动支付。</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就诊签到</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5.患者挂号完成后，就诊当天，可展示就诊二维码，在诊区进行签到。</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候诊查询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6.对接医院排队叫号系统，用户可以在手机端实时查询候诊、治疗等排队信息，查询当前就诊序号、我的序号、剩余人数等信息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门诊缴费</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7.患者在门诊就诊期间，当出现缴费信息时，患者可查看待缴费清单，患者确认后，可进行线上直接缴费。在对接医保之前支持自费支付，对接医保之后，支持医保移动支付。</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费用查询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8.患者可对门诊就诊过程中产生的门诊诊疗费用明细进行查询。</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电子发票</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9.支持与院内电子发票系统对接，在线生成门诊费用对应的电子发票</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检查报告查询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10.可在线查询患者既往检查报告；</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检验报告查询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11.可在线查询患者既往检验报告</w:t>
            </w:r>
          </w:p>
        </w:tc>
      </w:tr>
      <w:tr>
        <w:tc>
          <w:tcPr>
            <w:tcW w:type="dxa" w:w="1862"/>
            <w:vMerge/>
            <w:tcBorders>
              <w:top w:val="none" w:color="000000" w:sz="4"/>
              <w:left w:val="single" w:color="000000" w:sz="4"/>
              <w:bottom w:val="single" w:color="000000" w:sz="4"/>
              <w:right w:val="single" w:color="000000" w:sz="4"/>
            </w:tcBorders>
          </w:tcPr>
          <w:p/>
        </w:tc>
        <w:tc>
          <w:tcPr>
            <w:tcW w:type="dxa" w:w="16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医生主页</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12.用户或医生可在线生成二维码，扫二维码可直接进入医生主页，并支持将在线生成的二维码保存到相册或分享给微信好友；</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13.医生主页涵盖医生提供的就诊服务及其他服务，同时支持查看医生发布的文章动态，并支持从文章动态中进入医生主页；</w:t>
            </w:r>
          </w:p>
        </w:tc>
      </w:tr>
      <w:tr>
        <w:tc>
          <w:tcPr>
            <w:tcW w:type="dxa" w:w="1862"/>
            <w:vMerge/>
            <w:tcBorders>
              <w:top w:val="none" w:color="000000" w:sz="4"/>
              <w:left w:val="single" w:color="000000" w:sz="4"/>
              <w:bottom w:val="single" w:color="000000" w:sz="4"/>
              <w:right w:val="single" w:color="000000" w:sz="4"/>
            </w:tcBorders>
          </w:tcPr>
          <w:p/>
        </w:tc>
        <w:tc>
          <w:tcPr>
            <w:tcW w:type="dxa" w:w="16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其他业务查询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14.用户可在线查询药品及价格；</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15.用户可在线查询收费项目及价格；</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16.用户可在线查询以往处方信息；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医技预约服务</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17.对接医院已有的医技预约平台，医生开具检查医嘱，用户支付完成后可在线进行检查项目预约，预约可分时段，支持直接到检查科室进行签到、检查；</w:t>
            </w:r>
          </w:p>
        </w:tc>
      </w:tr>
      <w:tr>
        <w:tc>
          <w:tcPr>
            <w:tcW w:type="dxa" w:w="1862"/>
            <w:vMerge/>
            <w:tcBorders>
              <w:top w:val="none" w:color="000000" w:sz="4"/>
              <w:left w:val="single" w:color="000000" w:sz="4"/>
              <w:bottom w:val="single" w:color="000000" w:sz="4"/>
              <w:right w:val="single" w:color="000000" w:sz="4"/>
            </w:tcBorders>
          </w:tcPr>
          <w:p/>
        </w:tc>
        <w:tc>
          <w:tcPr>
            <w:tcW w:type="dxa" w:w="16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检验自助开单</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18.将可开放自助下单的检验项目如血液检验、尿液检验、影像检验等展示在检验项目内，患者可根据自身需求，快速点击进入相应分类，方便筛选目标检验项目。</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19.点击具体检验项目后，页面展示详细信息，包括项目名称、检验目的、检测地点信息、注意事项。</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20.结算页面支持微信自费支付、医保电子凭证线上结算。患者可根据自身情况自由选择。</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服务通知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21.支持患者端自由开关消息通知，门诊挂号、缴费等操作有相关通知推送。</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智慧住院服务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住院预交</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1.患者可对住院预交金进行充值或补缴。</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住院预交金余额查询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2.患者可对住院预交金余额进行查询。</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住院退费</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3.患者可对住院剩余费用进行退费操作。</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住院明细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4.可查询住院费用明细</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住院报告查询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5.支持患者在线查询住院检查检验报告。</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住院病历查询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6.支持患者在线查询住院病历信息。</w:t>
            </w:r>
          </w:p>
        </w:tc>
      </w:tr>
      <w:tr>
        <w:tc>
          <w:tcPr>
            <w:tcW w:type="dxa" w:w="1862"/>
            <w:vMerge/>
            <w:tcBorders>
              <w:top w:val="none" w:color="000000" w:sz="4"/>
              <w:left w:val="single" w:color="000000" w:sz="4"/>
              <w:bottom w:val="single" w:color="000000" w:sz="4"/>
              <w:right w:val="single" w:color="000000" w:sz="4"/>
            </w:tcBorders>
          </w:tcPr>
          <w:p/>
        </w:tc>
        <w:tc>
          <w:tcPr>
            <w:tcW w:type="dxa" w:w="16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自助入院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7.患者可在线查询可预约住院床位情况；</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8.患者线上预约申请住院时间、床位类型等；</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9.患者住院预约成功后通过短信、微信等提醒患者住院预约信息；</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10.患者可以在手机端查询住院预约情况；</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11.办理自助入院后推送住院须知；</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出院自助结算</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费用明细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1.结算前展示住院费用分类统计，主要明细信息。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费用结算</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2.支持患者自费结算，提示并确认自费费用后，完成结算，办理出院。（如医保侧支持住院业务线上结算，系统建设方需配合完成医保患者线上自助出院功能）</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电子发票</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3.支持与院内电子发票系统对接，在线生成住院费用对应的电子发票</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出院带药</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4.患者可以通过住院号、身份证号、姓名等信息查询自己的出院带药信息，和合理用药系统进行对接可查询药品说明书，用药提醒。</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医保电子凭证线上应用</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医保电子凭证领取</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1.患者可通过小程序直接激活、领取医保电子凭证，无需再次注册。</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待结算列表查询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2.患者有院内就诊费用产生，可通过小程序直接查询待结算列表，待结算列表中需展示在一段时间内，患者在医院的所有的待结算信息。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医保、自费支付方式选择</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3.患者获取待结算信息后，可直接进行线上缴费结算，线上缴费，患者可选择医保、自费两种支付方式。选择医保支付，则可进行医保混合支付，选择自费支付，可直接拉起自费支付界面。</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医保电子凭证免密授权</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4.患者在选择医保支付时需要获取医保电子凭证，患者通过小程序在获取医保电子凭证时，只需点击授权即可，无需进行密码验证，方便快捷。</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医保支付</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5.获取医保电子凭证授权后，系统会显示预结算信息，展示医保支付金额、自费支付金额等信息，患者核实信息后即可进行医保支付。</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自费支付</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6.对于混合支付订单，在医保支付完成后需进行自费部分支付，患者可直接进行自费支付，无需切换支付界面，方便快捷。</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结算成功消息提醒</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7.结算完成后，系统会将结算成功的消息发送至患者，方便查看及进行下一步操作。</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结算成功明细查询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8.结算完成后，患者可通过微信小程序查询结算成功后的订单明细，明细中会明确呈现自费金额及医保金额，方便患者查看。</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智能消息指引</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待缴费推送</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1.医生开具医嘱后，主动推送待缴费给患者；</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停诊推送</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2.用户挂号停诊后，主动推送消息给患者；</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手术通知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3.推送手术信息，同时可推送注意事项；</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建档成功提醒</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4.患者绑定就诊人或建档后进行消息提醒；</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入院提示</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5.用户入院时可推送住院须知等信息；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出院提示</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6.用户出院后，可推送出院注意事项；</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取药提示</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7.门诊缴费成功后，推送取药位置等信息；</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报告出具提示</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8.检验检查报告出具后，主动推送消息给患者；</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医生停诊通知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9.医生停诊后可推送消息给患者；</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缴费成功提醒</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10.各类缴费成功提醒，如挂号、门诊缴费、住院预交等；</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候诊情况提醒</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11.可在线推送候诊情况，在临近就诊时进行推送；</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检查注意提醒</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12.可在线推送检验检查注意事项；</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个人中心服务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实名认证</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1.支持刷脸或者身份证上传的方式进行实名认证。</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就诊人员管理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2.在就诊人列表内，可进行默认就诊人设置，一个用户最多添加5个就诊者。</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电子就诊卡</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3.可领取医院线上电子就诊卡。</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医保电子凭证</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4.患者可通过互联网医院直接领取医保电子凭证，在就诊过程中，可直接展示医保电子凭证进行就诊。</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关注收藏</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5.可对感兴趣的医生、文章、视频等内容进行关注收藏。</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预约记录</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6.可以查询以往的预约记录包括挂号记录、检查检验记录等。</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门诊缴费记录</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7.可对门诊缴费记录进行查询。</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住院预交记录</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8.可对住院就诊卡的充值记录进行查询。</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预约取消</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9.针对预约的项目，根据取消规则，支持在线取消功能，费用原路退回患者账户</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电子票据</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10.对接电子票据平台，患者可通过小程序直接领取电子票据。</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我的处方</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11.可查看线上问诊处方详情。</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用户反馈</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12.患者可进行线上意见反馈。</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运营管理服务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科室管理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1.支持添加、删除、修改医院的科室信息，包括科室名称、科室简介、所属科室类别等。</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医生管理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2.支持登记医生的详细个人信息，如姓名、性别、职称、擅长领域等。支持审核医生的资质证书和执业资格。为医生分配科室和工作权限。查看医生的工作量、患者评价、诊疗效果等绩效数据。</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医院基本信息管理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3.维护医院的基础信息，如医院名称、地址、联系电话、医院等级等。上传和更新医院的宣传图片、简介资料。</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公告管理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4.发布医院的重要通知、公告，如停诊通知、专家出诊变更等。编辑公告内容，设置公告的生效时间和失效时间。查看公告的阅读量和反馈情况。</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物价公示</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5.公布医院各项医疗服务和药品的价格。对价格进行调整和更新，并记录价格变动历史。</w:t>
            </w:r>
          </w:p>
        </w:tc>
      </w:tr>
      <w:tr>
        <w:tc>
          <w:tcPr>
            <w:tcW w:type="dxa" w:w="1862"/>
            <w:vMerge/>
            <w:tcBorders>
              <w:top w:val="none" w:color="000000" w:sz="4"/>
              <w:left w:val="single" w:color="000000" w:sz="4"/>
              <w:bottom w:val="single" w:color="000000" w:sz="4"/>
              <w:right w:val="single" w:color="000000" w:sz="4"/>
            </w:tcBorders>
          </w:tcPr>
          <w:p/>
        </w:tc>
        <w:tc>
          <w:tcPr>
            <w:tcW w:type="dxa" w:w="16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问卷调查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6.支持满意度调查功能的自行维护，维护后展示到小程序；</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7.支持用户填写问卷后的内容进行查看；</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日志管理</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8.记录系统中所有重要操作的日志，包括操作人员、操作时间、操作内容等。对日志进行分类和检索，方便快速查找特定的操作记录。</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规则服务</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9.系统支持设置各类规则，如：首页轮播图、首页提醒内容、就诊人绑定数量设置、单日最大挂号数量限制、有未支付挂号订单时禁止挂号等</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系统监控</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10.实时监测系统的运行状态，包括服务器性能、网络带宽使用情况等。接收系统故障和异常的报警信息，并及时通知相关人员处理。</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满意度调查服务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就诊满意度调查问卷</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1.持门诊、住院等满意度调查的填写，通过短信、微信等方式动态推送满意度调查内容，满意度调查结果与就诊活动可对应；</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投诉及意见反馈</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2.用户可以在移动端进行投诉及意见反馈，并通过短信、微信消息等方式收到回应；</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老年关爱服务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就诊人员绑定</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1.支持在线新建就诊人及已有就诊人绑定；</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挂号</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2.支持大字版在线挂号；</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门诊缴费</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3.支持大字版在线门诊缴费；</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报告查询</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4.支持大字版在线报告查询；</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AI能力-智能导诊服务</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智能导诊－单医院接入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1.支持接入单个医院，可以根据患者的问题描述来智能推荐相应的科室，患者点击挂号后可以前往相应挂号页面；</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智能导诊-多院区接入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2.支持接入医院的多个院区，可以根据患者选择的院区以及患者的问题描述智能推荐相应的科室和医生，患者点击挂号后可以前往相应挂号页面；</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多轮追问</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3.针对患者描述的问题，会进一步追问其他伴随症状，更准确地推荐科室；</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挂号直达</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4.智能推荐的科室和医生，可以一键直达挂号页面，减少线上挂错号的可能性；</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号源对接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5.支持对接医院科室医生的号源，优先推荐7日内有号源的医生；</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AI能力－检查检验报告解读</w:t>
            </w:r>
          </w:p>
        </w:tc>
        <w:tc>
          <w:tcPr>
            <w:tcW w:type="dxa" w:w="163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检查检验报告解读</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1.患者在报告查询内查询自己的检查检验报告，报告单集成AI解读功能，自动获取该报告的基本信息，提供AI报告解读功能，对各项指标快速做出综合分析并给出建议方案</w:t>
            </w:r>
          </w:p>
        </w:tc>
      </w:tr>
      <w:tr>
        <w:tc>
          <w:tcPr>
            <w:tcW w:type="dxa" w:w="1862"/>
            <w:vMerge/>
            <w:tcBorders>
              <w:top w:val="none" w:color="000000" w:sz="4"/>
              <w:left w:val="single" w:color="000000" w:sz="4"/>
              <w:bottom w:val="single" w:color="000000" w:sz="4"/>
              <w:right w:val="single" w:color="000000" w:sz="4"/>
            </w:tcBorders>
          </w:tcPr>
          <w:p/>
        </w:tc>
        <w:tc>
          <w:tcPr>
            <w:tcW w:type="dxa" w:w="1637"/>
            <w:vMerge/>
            <w:tcBorders>
              <w:top w:val="none" w:color="000000" w:sz="4"/>
              <w:left w:val="none" w:color="000000" w:sz="4"/>
              <w:bottom w:val="single" w:color="000000" w:sz="4"/>
              <w:right w:val="single" w:color="000000" w:sz="4"/>
            </w:tcBorders>
          </w:tcP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2.根据患者输入内容，智能识别检验注意事项、检验指标异常、检验检查含义等检验意图，返回对应检验检查指标百科；</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AI能力－智能预问诊</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就诊人员选择</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1.选择需要进行预问诊的就诊人信息，关联到该就诊人</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科室挂号信息对接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2.系统支持与医院的挂号系统对接，通过接口自动获取科室等基本信息，自动处理并跳过部分问题，降低用户操作成本；</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主诉问题填写</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3.根据患者以及所挂科室或医生信息，匹配对应的预问诊内容，患者按照步骤填写预问诊信息，填写完成后进行在线提交</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预问诊信息回写</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4.患者填写的预问诊信息，自动回写到医院的电子病历系统，生成对应的诊前就诊病历信息，患者就诊时医生能调取出患者的预问诊信息内容，方便医患之间的面诊。</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疑难词汇AI标注</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5.对于患者较难理解的医学专业术语，系统支持通过AI注释等方式进行说明，方便患者更清楚、准确地描述自身情况，降低理解成本；</w:t>
            </w:r>
          </w:p>
        </w:tc>
      </w:tr>
      <w:tr>
        <w:tc>
          <w:tcPr>
            <w:tcW w:type="dxa" w:w="18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AI能力-AI客服</w:t>
            </w: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常见问题预置</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1.提供常见的问题预置功能，如：头疼，高血压等症状问题，患者选择该问题后，AI自动生成症状的建议</w:t>
            </w:r>
          </w:p>
        </w:tc>
      </w:tr>
      <w:tr>
        <w:tc>
          <w:tcPr>
            <w:tcW w:type="dxa" w:w="1862"/>
            <w:vMerge/>
            <w:tcBorders>
              <w:top w:val="none" w:color="000000" w:sz="4"/>
              <w:left w:val="single" w:color="000000" w:sz="4"/>
              <w:bottom w:val="single" w:color="000000" w:sz="4"/>
              <w:right w:val="single" w:color="000000" w:sz="4"/>
            </w:tcBorders>
          </w:tcPr>
          <w:p/>
        </w:tc>
        <w:tc>
          <w:tcPr>
            <w:tcW w:type="dxa" w:w="16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问题输入</w:t>
            </w:r>
          </w:p>
        </w:tc>
        <w:tc>
          <w:tcPr>
            <w:tcW w:type="dxa" w:w="48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2.患者可输入想要咨询的医学的问题，根据患者的问题，进行智能客服解答，给出相关问题反馈。</w:t>
            </w:r>
          </w:p>
        </w:tc>
      </w:tr>
    </w:tbl>
    <w:p>
      <w:pPr>
        <w:pStyle w:val="null3"/>
      </w:pPr>
      <w:r>
        <w:rPr>
          <w:sz w:val="21"/>
          <w:b/>
        </w:rPr>
        <w:t>（三）人员资质要求：</w:t>
      </w:r>
    </w:p>
    <w:p>
      <w:pPr>
        <w:pStyle w:val="null3"/>
      </w:pPr>
      <w:r>
        <w:rPr>
          <w:sz w:val="21"/>
        </w:rPr>
        <w:t>1.须委派1名项目负责人，需具备2年及以上信息化行业相关项目管理经验，需具备计算机相关专业能力、信息系统项目管理能力及软件产品的质量验证与保障能力。</w:t>
      </w:r>
    </w:p>
    <w:p>
      <w:pPr>
        <w:pStyle w:val="null3"/>
      </w:pPr>
      <w:r>
        <w:rPr>
          <w:sz w:val="21"/>
        </w:rPr>
        <w:t>2.须拟派1名技术负责人，需具备信息系统项目管理能力。</w:t>
      </w:r>
    </w:p>
    <w:p>
      <w:pPr>
        <w:pStyle w:val="null3"/>
      </w:pPr>
      <w:r>
        <w:rPr>
          <w:sz w:val="21"/>
        </w:rPr>
        <w:t>3须委派项目团队其他成员（不含项目负责人、技术负责人），要求4人或以上，需具备信息系统项目管理能力、软件产品的质量验证与保障能力、软件设计能力及系统集成项目管理能力。</w:t>
      </w:r>
    </w:p>
    <w:p>
      <w:pPr>
        <w:pStyle w:val="null3"/>
      </w:pPr>
      <w:r>
        <w:rPr>
          <w:sz w:val="21"/>
        </w:rPr>
        <w:t>4.项目团队服务人员按甲方和项目实际需求进行驻场，项目团队人员不可兼任，应具备投标文件中对应资质，且人员不得随意更换，如需更换的，则必须征得甲方的书面同意，经试用符合要求方可更换。如因成员能力不足，导致项目实施延期或不能达到本项目的要求，乙方应自违约之日起每日按合同总额的 3‰比例向甲方支付违约金；项目延期或不能达到本项目的要求超过 15 日以上时，甲方有权终止合同，由此造成甲方的经济损失由乙方承担。。</w:t>
      </w:r>
    </w:p>
    <w:p>
      <w:pPr>
        <w:pStyle w:val="null3"/>
        <w:jc w:val="both"/>
      </w:pPr>
      <w:r>
        <w:rPr>
          <w:sz w:val="21"/>
        </w:rPr>
        <w:t>5.须在项目管理机构人员组成表中列明项目团队成员信息（包含项目负责人、技术负责人、项目团队其他成员）。</w:t>
      </w:r>
    </w:p>
    <w:p>
      <w:pPr>
        <w:pStyle w:val="null3"/>
        <w:jc w:val="both"/>
      </w:pPr>
      <w:r>
        <w:rPr>
          <w:sz w:val="21"/>
          <w:b/>
        </w:rPr>
        <w:t>（四）运维服务质量考核表</w:t>
      </w:r>
    </w:p>
    <w:p>
      <w:pPr>
        <w:pStyle w:val="null3"/>
        <w:jc w:val="left"/>
      </w:pPr>
      <w:r>
        <w:rPr>
          <w:sz w:val="21"/>
        </w:rPr>
        <w:t>考核满分为100分。评分细则如下（扣减分情况）:</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1098"/>
        <w:gridCol w:w="1429"/>
        <w:gridCol w:w="4740"/>
        <w:gridCol w:w="1038"/>
      </w:tblGrid>
      <w:tr>
        <w:tc>
          <w:tcPr>
            <w:tcW w:type="dxa" w:w="1098"/>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序号</w:t>
            </w:r>
          </w:p>
        </w:tc>
        <w:tc>
          <w:tcPr>
            <w:tcW w:type="dxa" w:w="142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考核项目</w:t>
            </w:r>
          </w:p>
        </w:tc>
        <w:tc>
          <w:tcPr>
            <w:tcW w:type="dxa" w:w="4740"/>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评分细则</w:t>
            </w:r>
          </w:p>
        </w:tc>
        <w:tc>
          <w:tcPr>
            <w:tcW w:type="dxa" w:w="1038"/>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b/>
              </w:rPr>
              <w:t>扣分情况</w:t>
            </w: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1</w:t>
            </w:r>
          </w:p>
        </w:tc>
        <w:tc>
          <w:tcPr>
            <w:tcW w:type="dxa" w:w="1429"/>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优化需求管理</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1、未能按时完成需求收集工作，扣2分。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2、擅自修改已确定的优化需求范围，不通报甲方对接人的，发现一次扣2分。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3、发现重大优化需求分析缺陷，扣2分。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2</w:t>
            </w:r>
          </w:p>
        </w:tc>
        <w:tc>
          <w:tcPr>
            <w:tcW w:type="dxa" w:w="1429"/>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沟通管理</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1、对外擅自承诺新版本发布或BUG修复时间，发现一次扣2分。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2、项目软件有BUG,发现以后不及时通报甲方对接人，不能及时解决因为BUG导致的开发问题，发现一次扣3分。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3</w:t>
            </w:r>
          </w:p>
        </w:tc>
        <w:tc>
          <w:tcPr>
            <w:tcW w:type="dxa" w:w="1429"/>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故障处理及Bug修复时限</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1、引起业务中断的故障（明确非项目软件原因除外），每发生一次重大故障扣5分到15分；每发生一次非重大故障扣1分到4分；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2、因文档不全、人员未及时到位等导致不能及时进行故障处理，每次扣2分；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3、未按照共同确定的时限修复软件BUG,发现一次扣5分。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4</w:t>
            </w:r>
          </w:p>
        </w:tc>
        <w:tc>
          <w:tcPr>
            <w:tcW w:type="dxa" w:w="1429"/>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文档管理</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1、优化版本没有完整的设计、实施、开发、维护文档，而发布上线，发现一次扣3分。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2、文档更新不及时，发现一次扣1分，引起问题的，发现一次扣2分。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19"/>
              </w:rPr>
              <w:t xml:space="preserve"> </w:t>
            </w:r>
          </w:p>
        </w:tc>
      </w:tr>
      <w:tr>
        <w:tc>
          <w:tcPr>
            <w:tcW w:type="dxa" w:w="109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5</w:t>
            </w:r>
          </w:p>
        </w:tc>
        <w:tc>
          <w:tcPr>
            <w:tcW w:type="dxa" w:w="14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版本管理</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1、没有及时按要求进行版本的升级维护，发现一次扣3分。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val="restart"/>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6</w:t>
            </w:r>
          </w:p>
        </w:tc>
        <w:tc>
          <w:tcPr>
            <w:tcW w:type="dxa" w:w="1429"/>
            <w:vMerge w:val="restart"/>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日常维护</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1、电话支持服务：</w:t>
            </w:r>
            <w:r>
              <w:br/>
            </w:r>
            <w:r>
              <w:rPr>
                <w:sz w:val="21"/>
              </w:rPr>
              <w:t>上班时间无人接听支持电话，每发生一次扣1分；</w:t>
            </w:r>
            <w:r>
              <w:br/>
            </w:r>
            <w:r>
              <w:rPr>
                <w:sz w:val="21"/>
              </w:rPr>
              <w:t>接听支持电话时，态度不好或推诿，每发生一次扣1分；</w:t>
            </w:r>
            <w:r>
              <w:br/>
            </w:r>
            <w:r>
              <w:rPr>
                <w:sz w:val="21"/>
              </w:rPr>
              <w:t>对于无法电话中解决的问题，下一步解决安排不妥当而导致投诉升级，每发生一次扣2分；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vMerge/>
            <w:tcBorders>
              <w:top w:val="none" w:color="000000" w:sz="4"/>
              <w:left w:val="single" w:color="000000" w:sz="4"/>
              <w:bottom w:val="single" w:color="000000" w:sz="4"/>
              <w:right w:val="single" w:color="000000" w:sz="4"/>
            </w:tcBorders>
          </w:tcPr>
          <w:p/>
        </w:tc>
        <w:tc>
          <w:tcPr>
            <w:tcW w:type="dxa" w:w="1429"/>
            <w:vMerge/>
            <w:tcBorders>
              <w:top w:val="none" w:color="000000" w:sz="4"/>
              <w:left w:val="none" w:color="000000" w:sz="4"/>
              <w:bottom w:val="single" w:color="000000" w:sz="4"/>
              <w:right w:val="single" w:color="000000" w:sz="4"/>
            </w:tcBorders>
          </w:tcP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2、邮件支持服务：</w:t>
            </w:r>
            <w:r>
              <w:br/>
            </w:r>
            <w:r>
              <w:rPr>
                <w:sz w:val="21"/>
              </w:rPr>
              <w:t>收到用户（含用户方集成商）反映问题的邮件后，在24小时内不处理（周六、日除外），每发生一次扣1分；</w:t>
            </w:r>
            <w:r>
              <w:br/>
            </w:r>
            <w:r>
              <w:rPr>
                <w:sz w:val="21"/>
              </w:rPr>
              <w:t>处理完用户的问题后，不及时反馈，每发生一次扣1分；</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7</w:t>
            </w:r>
          </w:p>
        </w:tc>
        <w:tc>
          <w:tcPr>
            <w:tcW w:type="dxa" w:w="14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重大事项一票否决规定</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对于项目软件提供商严重违反规定，如：项目严重超期、产品质量严重不符合甲方要求、泄露系统配置、系统信息、相关文档内容和核心技术；因其他原因导致重大故障，引起严重后果。当次考核得分为零，并按相关规定追究当事人及所在公司的责任。</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1098"/>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8</w:t>
            </w:r>
          </w:p>
        </w:tc>
        <w:tc>
          <w:tcPr>
            <w:tcW w:type="dxa" w:w="142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奖励和加分说明</w:t>
            </w:r>
          </w:p>
        </w:tc>
        <w:tc>
          <w:tcPr>
            <w:tcW w:type="dxa" w:w="474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sz w:val="21"/>
              </w:rPr>
              <w:t>1.奖励得分前提条件为当月基本得分在80分以上，且奖励总分原则上不超过20分，奖励分数+当月基本得分原则上不超过100分。</w:t>
            </w:r>
          </w:p>
          <w:p>
            <w:pPr>
              <w:pStyle w:val="null3"/>
              <w:jc w:val="left"/>
            </w:pPr>
            <w:r>
              <w:rPr>
                <w:sz w:val="21"/>
              </w:rPr>
              <w:t>2.发现基于此项目在开发和维护管理中存在风险并及时提出解决方案每次可给予5分奖励。</w:t>
            </w:r>
          </w:p>
          <w:p>
            <w:pPr>
              <w:pStyle w:val="null3"/>
              <w:jc w:val="left"/>
            </w:pPr>
            <w:r>
              <w:rPr>
                <w:sz w:val="21"/>
              </w:rPr>
              <w:t>3.发生系统故障，并积极主动配合并挽回或避免损失可给予2到6分奖励。</w:t>
            </w:r>
          </w:p>
          <w:p>
            <w:pPr>
              <w:pStyle w:val="null3"/>
              <w:jc w:val="left"/>
            </w:pPr>
            <w:r>
              <w:rPr>
                <w:sz w:val="21"/>
              </w:rPr>
              <w:t>4.提出有价值的合理化建议，每次给予加1分奖励，如果采纳并取得显著效果的，每次给予加5分奖励。</w:t>
            </w:r>
          </w:p>
          <w:p>
            <w:pPr>
              <w:pStyle w:val="null3"/>
              <w:jc w:val="left"/>
            </w:pPr>
            <w:r>
              <w:rPr>
                <w:sz w:val="21"/>
              </w:rPr>
              <w:t>5.对投诉处理积极主动，提出合理化解决投诉方案，配合解决好重大投诉,可给与1-5分奖励。</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r>
        <w:tc>
          <w:tcPr>
            <w:tcW w:type="dxa" w:w="7267"/>
            <w:gridSpan w:val="3"/>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sz w:val="21"/>
              </w:rPr>
              <w:t>总得分（扣减分后）</w:t>
            </w:r>
          </w:p>
        </w:tc>
        <w:tc>
          <w:tcPr>
            <w:tcW w:type="dxa" w:w="10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tc>
      </w:tr>
    </w:tbl>
    <w:p>
      <w:pPr>
        <w:pStyle w:val="null3"/>
        <w:jc w:val="left"/>
      </w:pPr>
      <w:r>
        <w:rPr>
          <w:sz w:val="21"/>
        </w:rPr>
        <w:t>考核说明：采用100分制，运维服务期内，甲方每半年对乙方的运维服务质量情况进行考核，甲方根据乙方年度</w:t>
      </w:r>
      <w:r>
        <w:rPr>
          <w:sz w:val="21"/>
        </w:rPr>
        <w:t>两次</w:t>
      </w:r>
      <w:r>
        <w:rPr>
          <w:sz w:val="21"/>
        </w:rPr>
        <w:t>运维服务质量考核结果</w:t>
      </w:r>
      <w:r>
        <w:rPr>
          <w:sz w:val="21"/>
        </w:rPr>
        <w:t>的</w:t>
      </w:r>
      <w:r>
        <w:rPr>
          <w:sz w:val="21"/>
        </w:rPr>
        <w:t>平均值</w:t>
      </w:r>
      <w:r>
        <w:rPr>
          <w:sz w:val="21"/>
        </w:rPr>
        <w:t>支付运维服务期满后的服务费：</w:t>
      </w:r>
    </w:p>
    <w:p>
      <w:pPr>
        <w:pStyle w:val="null3"/>
        <w:jc w:val="left"/>
      </w:pPr>
      <w:r>
        <w:rPr>
          <w:sz w:val="21"/>
        </w:rPr>
        <w:t>1.优秀：运维服务质量考核在90分（含）以上，足额支付运维服务期满后的服务费。</w:t>
      </w:r>
    </w:p>
    <w:p>
      <w:pPr>
        <w:pStyle w:val="null3"/>
        <w:jc w:val="left"/>
      </w:pPr>
      <w:r>
        <w:rPr>
          <w:sz w:val="21"/>
        </w:rPr>
        <w:t>2.良好：运维服务质量考核在80分-89分，扣除运维服务期满后的服务费人民币</w:t>
      </w:r>
      <w:r>
        <w:rPr>
          <w:sz w:val="21"/>
          <w:u w:val="single"/>
        </w:rPr>
        <w:t>2,000.00</w:t>
      </w:r>
      <w:r>
        <w:rPr>
          <w:sz w:val="21"/>
        </w:rPr>
        <w:t>元，并责令乙方加强运维服务质量管理。</w:t>
      </w:r>
    </w:p>
    <w:p>
      <w:pPr>
        <w:pStyle w:val="null3"/>
        <w:jc w:val="left"/>
      </w:pPr>
      <w:r>
        <w:rPr>
          <w:sz w:val="21"/>
        </w:rPr>
        <w:t>3.合格：运维服务质量考核在60分-79分，扣除运维服务期满后的服务费人民币</w:t>
      </w:r>
      <w:r>
        <w:rPr>
          <w:sz w:val="21"/>
          <w:u w:val="single"/>
        </w:rPr>
        <w:t>5,000.00</w:t>
      </w:r>
      <w:r>
        <w:rPr>
          <w:sz w:val="21"/>
        </w:rPr>
        <w:t>元并责令整改，若整改无效的甲方有权单方面解除合同，一切责任与甲方无关。</w:t>
      </w:r>
    </w:p>
    <w:p>
      <w:pPr>
        <w:pStyle w:val="null3"/>
        <w:jc w:val="both"/>
      </w:pPr>
      <w:r>
        <w:rPr>
          <w:sz w:val="21"/>
        </w:rPr>
        <w:t>4.不合格：运维服务质量考核在60分（不含）以下，扣除运维服务期满后的服务费且甲方有权单方面解除合同，由此产生的一切责任由乙方承担。</w:t>
      </w:r>
    </w:p>
    <w:p>
      <w:pPr>
        <w:pStyle w:val="null3"/>
        <w:jc w:val="both"/>
      </w:pPr>
      <w:r>
        <w:rPr>
          <w:sz w:val="21"/>
        </w:rPr>
        <w:t>注：</w:t>
      </w:r>
      <w:r>
        <w:rPr>
          <w:sz w:val="21"/>
        </w:rPr>
        <w:t>年度两次运维服务质量考核结果的平均值</w:t>
      </w:r>
      <w:r>
        <w:rPr>
          <w:sz w:val="21"/>
        </w:rPr>
        <w:t>达到</w:t>
      </w:r>
      <w:r>
        <w:rPr>
          <w:sz w:val="21"/>
        </w:rPr>
        <w:t>合格</w:t>
      </w:r>
      <w:r>
        <w:rPr>
          <w:sz w:val="21"/>
        </w:rPr>
        <w:t>或以上</w:t>
      </w:r>
      <w:r>
        <w:rPr>
          <w:sz w:val="21"/>
        </w:rPr>
        <w:t>并</w:t>
      </w:r>
      <w:r>
        <w:rPr>
          <w:sz w:val="21"/>
        </w:rPr>
        <w:t>按</w:t>
      </w:r>
      <w:r>
        <w:rPr>
          <w:sz w:val="21"/>
        </w:rPr>
        <w:t>甲方</w:t>
      </w:r>
      <w:r>
        <w:rPr>
          <w:sz w:val="21"/>
        </w:rPr>
        <w:t>要求</w:t>
      </w:r>
      <w:r>
        <w:rPr>
          <w:sz w:val="21"/>
        </w:rPr>
        <w:t>整改</w:t>
      </w:r>
      <w:r>
        <w:rPr>
          <w:sz w:val="21"/>
        </w:rPr>
        <w:t>（</w:t>
      </w:r>
      <w:r>
        <w:rPr>
          <w:sz w:val="21"/>
        </w:rPr>
        <w:t>如有</w:t>
      </w:r>
      <w:r>
        <w:rPr>
          <w:sz w:val="21"/>
        </w:rPr>
        <w:t>）</w:t>
      </w:r>
      <w:r>
        <w:rPr>
          <w:sz w:val="21"/>
        </w:rPr>
        <w:t>完毕</w:t>
      </w:r>
      <w:r>
        <w:rPr>
          <w:sz w:val="21"/>
        </w:rPr>
        <w:t>则</w:t>
      </w:r>
      <w:r>
        <w:rPr>
          <w:sz w:val="21"/>
        </w:rPr>
        <w:t>视为</w:t>
      </w:r>
      <w:r>
        <w:rPr>
          <w:sz w:val="21"/>
        </w:rPr>
        <w:t>最终</w:t>
      </w:r>
      <w:r>
        <w:rPr>
          <w:sz w:val="21"/>
        </w:rPr>
        <w:t>验收</w:t>
      </w:r>
      <w:r>
        <w:rPr>
          <w:sz w:val="21"/>
        </w:rPr>
        <w:t>合格</w:t>
      </w:r>
      <w:r>
        <w:rPr>
          <w:sz w:val="21"/>
        </w:rPr>
        <w:t>。</w:t>
      </w:r>
    </w:p>
    <w:p>
      <w:pPr>
        <w:pStyle w:val="null3"/>
        <w:ind w:firstLine="482"/>
        <w:jc w:val="both"/>
      </w:pPr>
      <w:r>
        <w:rPr>
          <w:sz w:val="21"/>
          <w:b/>
        </w:rPr>
        <w:t>二、产品及服务供应清单：</w:t>
      </w:r>
      <w:r>
        <w:rPr>
          <w:sz w:val="21"/>
        </w:rPr>
        <w:t>见附件一《报价清单明细表》。</w:t>
      </w:r>
    </w:p>
    <w:p>
      <w:pPr>
        <w:pStyle w:val="null3"/>
        <w:ind w:firstLine="482"/>
        <w:jc w:val="both"/>
      </w:pPr>
      <w:r>
        <w:rPr>
          <w:sz w:val="21"/>
          <w:b/>
        </w:rPr>
        <w:t>三、基本合同条款一览表</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676"/>
        <w:gridCol w:w="1412"/>
        <w:gridCol w:w="6218"/>
      </w:tblGrid>
      <w:tr>
        <w:tc>
          <w:tcPr>
            <w:tcW w:type="dxa" w:w="676"/>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序号</w:t>
            </w:r>
          </w:p>
        </w:tc>
        <w:tc>
          <w:tcPr>
            <w:tcW w:type="dxa" w:w="1412"/>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合同条款</w:t>
            </w:r>
          </w:p>
        </w:tc>
        <w:tc>
          <w:tcPr>
            <w:tcW w:type="dxa" w:w="621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内容</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1.</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合同总额</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rPr>
              <w:t>人民币：小写：</w:t>
            </w:r>
            <w:r>
              <w:rPr>
                <w:sz w:val="19"/>
                <w:u w:val="single"/>
              </w:rPr>
              <w:t xml:space="preserve">           </w:t>
            </w:r>
            <w:r>
              <w:rPr>
                <w:sz w:val="21"/>
              </w:rPr>
              <w:t xml:space="preserve"> 元；</w:t>
            </w:r>
          </w:p>
          <w:p>
            <w:pPr>
              <w:pStyle w:val="null3"/>
              <w:jc w:val="both"/>
            </w:pPr>
            <w:r>
              <w:rPr>
                <w:sz w:val="21"/>
              </w:rPr>
              <w:t>大写：</w:t>
            </w:r>
            <w:r>
              <w:rPr>
                <w:sz w:val="19"/>
                <w:u w:val="single"/>
              </w:rPr>
              <w:t xml:space="preserve">                 </w:t>
            </w:r>
            <w:r>
              <w:rPr>
                <w:sz w:val="21"/>
              </w:rPr>
              <w:t xml:space="preserve"> 元整。</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2.</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合同总额</w:t>
            </w:r>
          </w:p>
          <w:p>
            <w:pPr>
              <w:pStyle w:val="null3"/>
              <w:jc w:val="center"/>
            </w:pPr>
            <w:r>
              <w:rPr>
                <w:sz w:val="21"/>
                <w:b/>
              </w:rPr>
              <w:t>内容</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1"/>
              </w:rPr>
              <w:t>（1）合同金额应包括但不限于人员施工费用、与第三方系统对接需要支出的接口费，所有的税费、合同实施过程中的应预见和不可预见费用等。如果乙方在中标并签署合同后，在服务期内出现的任何遗漏，均由乙方负责，甲方将不再支付任何费用。</w:t>
            </w:r>
          </w:p>
          <w:p>
            <w:pPr>
              <w:pStyle w:val="null3"/>
              <w:jc w:val="both"/>
            </w:pPr>
            <w:r>
              <w:rPr>
                <w:sz w:val="21"/>
              </w:rPr>
              <w:t>（2）项目合同金额应包含采购项目的全部费用，在合同期限内，项目服务费不以任何理由而增加。甲方按合同总额支付费用，并在服务期内对合同总额不作任何的调整。</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3.</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项目服务</w:t>
            </w:r>
          </w:p>
          <w:p>
            <w:pPr>
              <w:pStyle w:val="null3"/>
              <w:jc w:val="center"/>
            </w:pPr>
            <w:r>
              <w:rPr>
                <w:sz w:val="21"/>
                <w:b/>
              </w:rPr>
              <w:t>地点</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1"/>
              </w:rPr>
              <w:t>甲方（用户）指定地点。</w:t>
            </w:r>
          </w:p>
          <w:p>
            <w:pPr>
              <w:pStyle w:val="null3"/>
              <w:jc w:val="left"/>
            </w:pPr>
            <w:r>
              <w:rPr>
                <w:sz w:val="21"/>
              </w:rPr>
              <w:t>详细地址为：</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4.</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合同履行</w:t>
            </w:r>
          </w:p>
          <w:p>
            <w:pPr>
              <w:pStyle w:val="null3"/>
              <w:jc w:val="center"/>
            </w:pPr>
            <w:r>
              <w:rPr>
                <w:sz w:val="21"/>
                <w:b/>
              </w:rPr>
              <w:t>期限</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1"/>
              </w:rPr>
              <w:t>合同签订后90个工作日内系统开发部署完毕，并交付使用</w:t>
            </w:r>
            <w:r>
              <w:rPr>
                <w:sz w:val="21"/>
              </w:rPr>
              <w:t>。</w:t>
            </w:r>
            <w:r>
              <w:rPr>
                <w:sz w:val="21"/>
              </w:rPr>
              <w:t>系统正式上线试运行一个月后进行项目初步验收。运维服务期自初步验收合格之日起一年。</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5.</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合同签订方式及情况</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rPr>
              <w:t>☑ 一次性签订本项目采购合同。</w:t>
            </w:r>
          </w:p>
          <w:p>
            <w:pPr>
              <w:pStyle w:val="null3"/>
              <w:jc w:val="both"/>
            </w:pPr>
            <w:r>
              <w:rPr>
                <w:sz w:val="21"/>
              </w:rPr>
              <w:t>□ 本项目分次签订合同，每次合同服务期为一年。本次情况如下：</w:t>
            </w:r>
          </w:p>
          <w:p>
            <w:pPr>
              <w:pStyle w:val="null3"/>
              <w:jc w:val="both"/>
            </w:pPr>
            <w:r>
              <w:rPr>
                <w:sz w:val="21"/>
              </w:rPr>
              <w:t>（1）本次签订为第 次；</w:t>
            </w:r>
          </w:p>
          <w:p>
            <w:pPr>
              <w:pStyle w:val="null3"/>
              <w:jc w:val="both"/>
            </w:pPr>
            <w:r>
              <w:rPr>
                <w:sz w:val="21"/>
              </w:rPr>
              <w:t>（2）本次合同金额为（大写）：元，</w:t>
            </w:r>
            <w:r>
              <w:rPr>
                <w:sz w:val="21"/>
                <w:u w:val="single"/>
              </w:rPr>
              <w:t>（￥   元）；</w:t>
            </w:r>
          </w:p>
          <w:p>
            <w:pPr>
              <w:pStyle w:val="null3"/>
              <w:jc w:val="both"/>
            </w:pPr>
            <w:r>
              <w:rPr>
                <w:sz w:val="21"/>
              </w:rPr>
              <w:t>（3）本次服务期起止时间：  年 月日至 年 月 日</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6.</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付款方式</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1"/>
              </w:rPr>
              <w:t>第1期：支付比例30%，</w:t>
            </w:r>
          </w:p>
          <w:p>
            <w:pPr>
              <w:pStyle w:val="null3"/>
            </w:pPr>
            <w:r>
              <w:rPr>
                <w:sz w:val="21"/>
              </w:rPr>
              <w:t>双方合同签订后，乙方进场并向甲方提供进场人员明细表，甲方审核后向乙方支付合同金额的30%作为预付款。</w:t>
            </w:r>
          </w:p>
          <w:p>
            <w:pPr>
              <w:pStyle w:val="null3"/>
            </w:pPr>
            <w:r>
              <w:rPr>
                <w:sz w:val="21"/>
              </w:rPr>
              <w:t>第2期：支付比例20%，</w:t>
            </w:r>
          </w:p>
          <w:p>
            <w:pPr>
              <w:pStyle w:val="null3"/>
            </w:pPr>
            <w:r>
              <w:rPr>
                <w:sz w:val="21"/>
              </w:rPr>
              <w:t>乙方交付系统对应文档和源代码，甲方审核后向乙方支付合同金额的20%。</w:t>
            </w:r>
          </w:p>
          <w:p>
            <w:pPr>
              <w:pStyle w:val="null3"/>
            </w:pPr>
            <w:r>
              <w:rPr>
                <w:sz w:val="21"/>
              </w:rPr>
              <w:t>第3期：支付比例45%，</w:t>
            </w:r>
          </w:p>
          <w:p>
            <w:pPr>
              <w:pStyle w:val="null3"/>
            </w:pPr>
            <w:r>
              <w:rPr>
                <w:sz w:val="21"/>
              </w:rPr>
              <w:t>系统正式上线试运行一个月后进行项目初步验收，初步验收合格后乙方向甲方提供试运行申请单、初步验收报告，甲方审核后向乙方支付合同金额的45%。</w:t>
            </w:r>
          </w:p>
          <w:p>
            <w:pPr>
              <w:pStyle w:val="null3"/>
            </w:pPr>
            <w:r>
              <w:rPr>
                <w:sz w:val="21"/>
              </w:rPr>
              <w:t>第4期：支付比例5%，</w:t>
            </w:r>
          </w:p>
          <w:p>
            <w:pPr>
              <w:pStyle w:val="null3"/>
            </w:pPr>
            <w:r>
              <w:rPr>
                <w:sz w:val="21"/>
              </w:rPr>
              <w:t>系统运维服务期结束后，乙方向甲方提供运维服务质量考核表和最终验收报告，甲方审核后向乙方支付合同金额的5%。</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7.</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付款要求</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1"/>
              </w:rPr>
              <w:t>本项目合同的每笔款项以人民币支票或银行汇款方式支付，根据项目的完成情况，甲方按上述节点支付对应款项。甲方每次付款前，乙方必须出具合规的等额增值税发票等凭证资料。如发生考核扣罚或违约金，甲方有权在上述支付款项中扣除相应金额后再支付。收款方、出具发票方均必须与合同乙方名称一致。如项目发生合同融资，甲方需将合同款项支付到合同约定收款账户</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8.</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履约保证金</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1"/>
              </w:rPr>
              <w:t>不收取</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9.</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试运行</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sz w:val="21"/>
              </w:rPr>
              <w:t>（1）</w:t>
            </w:r>
            <w:r>
              <w:rPr>
                <w:sz w:val="21"/>
              </w:rPr>
              <w:t>试运行期自系统完成部署并交付使用正式上线之日起1个月。</w:t>
            </w:r>
            <w:r>
              <w:rPr>
                <w:sz w:val="21"/>
              </w:rPr>
              <w:t>试运行期</w:t>
            </w:r>
            <w:r>
              <w:rPr>
                <w:sz w:val="21"/>
              </w:rPr>
              <w:t>内</w:t>
            </w:r>
            <w:r>
              <w:rPr>
                <w:sz w:val="21"/>
              </w:rPr>
              <w:t>，</w:t>
            </w:r>
            <w:r>
              <w:rPr>
                <w:sz w:val="21"/>
              </w:rPr>
              <w:t>系统出现的所有问题，</w:t>
            </w:r>
            <w:r>
              <w:rPr>
                <w:sz w:val="21"/>
              </w:rPr>
              <w:t>乙方</w:t>
            </w:r>
            <w:r>
              <w:rPr>
                <w:sz w:val="21"/>
              </w:rPr>
              <w:t>须</w:t>
            </w:r>
            <w:r>
              <w:rPr>
                <w:sz w:val="21"/>
              </w:rPr>
              <w:t>及时</w:t>
            </w:r>
            <w:r>
              <w:rPr>
                <w:sz w:val="21"/>
              </w:rPr>
              <w:t>解决、调整</w:t>
            </w:r>
            <w:r>
              <w:rPr>
                <w:sz w:val="21"/>
              </w:rPr>
              <w:t>并做好记录，此记录将作为</w:t>
            </w:r>
            <w:r>
              <w:rPr>
                <w:sz w:val="21"/>
              </w:rPr>
              <w:t>初步</w:t>
            </w:r>
            <w:r>
              <w:rPr>
                <w:sz w:val="21"/>
              </w:rPr>
              <w:t>验收的依据之一</w:t>
            </w:r>
            <w:r>
              <w:rPr>
                <w:sz w:val="21"/>
              </w:rPr>
              <w:t>。试运行期结束，如系统没有发生较大问题(不影响系统使用)，视为初步验收合格;如系统仍有较大问题(影响系统正常使用)未解决，</w:t>
            </w:r>
            <w:r>
              <w:rPr>
                <w:sz w:val="21"/>
              </w:rPr>
              <w:t>甲方有权终止合同，并要求乙方赔偿损失。</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10.</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运维服务</w:t>
            </w:r>
            <w:r>
              <w:rPr>
                <w:sz w:val="21"/>
                <w:b/>
              </w:rPr>
              <w:t>要求</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1"/>
              </w:rPr>
              <w:t>（1）运维服务期：自初步验收合格之日起一年。</w:t>
            </w:r>
          </w:p>
          <w:p>
            <w:pPr>
              <w:pStyle w:val="null3"/>
            </w:pPr>
            <w:r>
              <w:rPr>
                <w:sz w:val="21"/>
              </w:rPr>
              <w:t>（2）服务响应时间：</w:t>
            </w:r>
          </w:p>
          <w:p>
            <w:pPr>
              <w:pStyle w:val="null3"/>
            </w:pPr>
            <w:r>
              <w:rPr>
                <w:sz w:val="21"/>
              </w:rPr>
              <w:t>运维服务期内对甲方的服务通知，乙方在接报后1小时内响应，重大故障4小时内到达现场，一般故障处理时间不超过4小时，重大故障处理不超过12小时。</w:t>
            </w:r>
          </w:p>
          <w:p>
            <w:pPr>
              <w:pStyle w:val="null3"/>
            </w:pPr>
            <w:r>
              <w:rPr>
                <w:sz w:val="21"/>
              </w:rPr>
              <w:t>（3）运维服务：每6个月提供一次上门运维巡检服务，巡检内容包括对本项目所涉及的系统设备进行巡检，形成巡检报告，保证系统运行</w:t>
            </w:r>
            <w:r>
              <w:rPr>
                <w:sz w:val="21"/>
              </w:rPr>
              <w:t>正常</w:t>
            </w:r>
            <w:r>
              <w:rPr>
                <w:sz w:val="21"/>
              </w:rPr>
              <w:t>。</w:t>
            </w:r>
          </w:p>
          <w:p>
            <w:pPr>
              <w:pStyle w:val="null3"/>
            </w:pPr>
            <w:r>
              <w:rPr>
                <w:sz w:val="21"/>
              </w:rPr>
              <w:t>（4）技术培训： 提供人员的培训，包括但不限于操作培训、面对面培训和维护培训，并提供对部分甲方操作人员简单故障排除方法的培训。同时提供培训方案，并对相关技术问题进行充分交流，使甲方操作人员能熟练使用系统。</w:t>
            </w:r>
          </w:p>
        </w:tc>
      </w:tr>
      <w:tr>
        <w:tc>
          <w:tcPr>
            <w:tcW w:type="dxa" w:w="676"/>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sz w:val="21"/>
                <w:b/>
              </w:rPr>
              <w:t>1</w:t>
            </w:r>
            <w:r>
              <w:rPr>
                <w:sz w:val="21"/>
                <w:b/>
              </w:rPr>
              <w:t>1</w:t>
            </w:r>
          </w:p>
        </w:tc>
        <w:tc>
          <w:tcPr>
            <w:tcW w:type="dxa" w:w="141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实施要求</w:t>
            </w:r>
          </w:p>
        </w:tc>
        <w:tc>
          <w:tcPr>
            <w:tcW w:type="dxa" w:w="621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sz w:val="21"/>
              </w:rPr>
              <w:t>（</w:t>
            </w:r>
            <w:r>
              <w:rPr>
                <w:sz w:val="21"/>
              </w:rPr>
              <w:t>1）联合管理：双方成立研发协调小组，由医院信息科人员担任项目组长，负责日常研发与问题解决。</w:t>
            </w:r>
          </w:p>
          <w:p>
            <w:pPr>
              <w:pStyle w:val="null3"/>
            </w:pPr>
            <w:r>
              <w:rPr>
                <w:sz w:val="21"/>
              </w:rPr>
              <w:t>（</w:t>
            </w:r>
            <w:r>
              <w:rPr>
                <w:sz w:val="21"/>
              </w:rPr>
              <w:t>2）高效沟通：建立例会机制，包括日例会和周总结会，通过线上线下相结合的方式同步需求内容，所有需求变更均需经过组长确认后方可执行。</w:t>
            </w:r>
          </w:p>
          <w:p>
            <w:pPr>
              <w:pStyle w:val="null3"/>
            </w:pPr>
            <w:r>
              <w:rPr>
                <w:sz w:val="21"/>
              </w:rPr>
              <w:t>（</w:t>
            </w:r>
            <w:r>
              <w:rPr>
                <w:sz w:val="21"/>
              </w:rPr>
              <w:t>3）深度协调：甲方协调院内系统接口与测试环境，乙方保障技术方案。</w:t>
            </w:r>
          </w:p>
          <w:p>
            <w:pPr>
              <w:pStyle w:val="null3"/>
            </w:pPr>
            <w:r>
              <w:rPr>
                <w:sz w:val="21"/>
              </w:rPr>
              <w:t>（</w:t>
            </w:r>
            <w:r>
              <w:rPr>
                <w:sz w:val="21"/>
              </w:rPr>
              <w:t>4）通过实施“共建共管”的合作模式，确保项目能够按时、高质量地完成系统交付。</w:t>
            </w:r>
          </w:p>
        </w:tc>
      </w:tr>
    </w:tbl>
    <w:p>
      <w:pPr>
        <w:pStyle w:val="null3"/>
        <w:ind w:firstLine="482"/>
        <w:jc w:val="both"/>
      </w:pPr>
      <w:r>
        <w:rPr>
          <w:sz w:val="21"/>
          <w:b/>
        </w:rPr>
        <w:t>四、服务对照执行标准：</w:t>
      </w:r>
    </w:p>
    <w:p>
      <w:pPr>
        <w:pStyle w:val="null3"/>
        <w:ind w:firstLine="480"/>
        <w:jc w:val="both"/>
      </w:pPr>
      <w:r>
        <w:rPr>
          <w:sz w:val="21"/>
        </w:rPr>
        <w:t>1.符合中华人民共和国国家和履约地相关安全质量标准、行业技术规范标准；</w:t>
      </w:r>
    </w:p>
    <w:p>
      <w:pPr>
        <w:pStyle w:val="null3"/>
        <w:ind w:firstLine="480"/>
        <w:jc w:val="both"/>
      </w:pPr>
      <w:r>
        <w:rPr>
          <w:sz w:val="21"/>
        </w:rPr>
        <w:t>2.符合采购文件和响应承诺中各方共同认可的合理要求；</w:t>
      </w:r>
    </w:p>
    <w:p>
      <w:pPr>
        <w:pStyle w:val="null3"/>
        <w:ind w:firstLine="480"/>
        <w:jc w:val="both"/>
      </w:pPr>
      <w:r>
        <w:rPr>
          <w:sz w:val="21"/>
        </w:rPr>
        <w:t>上述各类标准与法规必须是有关官方机构最新发布的现行标准版本。</w:t>
      </w:r>
    </w:p>
    <w:p>
      <w:pPr>
        <w:pStyle w:val="null3"/>
        <w:ind w:firstLine="482"/>
        <w:jc w:val="both"/>
      </w:pPr>
      <w:r>
        <w:rPr>
          <w:sz w:val="21"/>
          <w:b/>
        </w:rPr>
        <w:t>五、投诉跟踪服务要求：</w:t>
      </w:r>
    </w:p>
    <w:p>
      <w:pPr>
        <w:pStyle w:val="null3"/>
        <w:ind w:firstLine="480"/>
        <w:jc w:val="both"/>
      </w:pPr>
      <w:r>
        <w:rPr>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both"/>
      </w:pPr>
      <w:r>
        <w:rPr>
          <w:sz w:val="21"/>
        </w:rPr>
        <w:t>2.合同履行期限内，甲方有权按本项目的管理要求对乙方进行不定期抽查检查，若对不合格的管理服务提出警告后，仍未得到有效解决时，甲方有权终止采购合同。</w:t>
      </w:r>
    </w:p>
    <w:p>
      <w:pPr>
        <w:pStyle w:val="null3"/>
        <w:ind w:firstLine="480"/>
        <w:jc w:val="both"/>
      </w:pPr>
      <w:r>
        <w:rPr>
          <w:sz w:val="21"/>
        </w:rPr>
        <w:t>3.乙方服务机构名称及地址：</w:t>
      </w:r>
    </w:p>
    <w:p>
      <w:pPr>
        <w:pStyle w:val="null3"/>
        <w:ind w:firstLine="420"/>
        <w:jc w:val="both"/>
      </w:pPr>
      <w:r>
        <w:rPr>
          <w:sz w:val="21"/>
        </w:rPr>
        <w:t>联系人1：          ，联系电话：            ，手机：          ；</w:t>
      </w:r>
    </w:p>
    <w:p>
      <w:pPr>
        <w:pStyle w:val="null3"/>
        <w:ind w:firstLine="420"/>
        <w:jc w:val="both"/>
      </w:pPr>
      <w:r>
        <w:rPr>
          <w:sz w:val="21"/>
        </w:rPr>
        <w:t>联系人2：          ，联系电话：            ，手机：          ；</w:t>
      </w:r>
    </w:p>
    <w:p>
      <w:pPr>
        <w:pStyle w:val="null3"/>
        <w:ind w:firstLine="420"/>
        <w:jc w:val="both"/>
      </w:pPr>
      <w:r>
        <w:rPr>
          <w:sz w:val="21"/>
        </w:rPr>
        <w:t>服务专线电话：</w:t>
      </w:r>
    </w:p>
    <w:p>
      <w:pPr>
        <w:pStyle w:val="null3"/>
        <w:ind w:firstLine="480"/>
        <w:jc w:val="both"/>
      </w:pPr>
      <w:r>
        <w:rPr>
          <w:sz w:val="21"/>
        </w:rPr>
        <w:t>4.其他服务要求：（补充内容不得对采购文件和投标/响应文件作实质性修改）</w:t>
      </w:r>
    </w:p>
    <w:p>
      <w:pPr>
        <w:pStyle w:val="null3"/>
        <w:ind w:firstLine="480"/>
        <w:jc w:val="both"/>
      </w:pPr>
      <w:r>
        <w:rPr>
          <w:u w:val="single"/>
        </w:rPr>
        <w:t xml:space="preserve">                                                           </w:t>
      </w:r>
      <w:r>
        <w:rPr>
          <w:sz w:val="21"/>
        </w:rPr>
        <w:t>。</w:t>
      </w:r>
    </w:p>
    <w:p>
      <w:pPr>
        <w:pStyle w:val="null3"/>
        <w:ind w:firstLine="482"/>
        <w:jc w:val="both"/>
      </w:pPr>
      <w:r>
        <w:rPr>
          <w:sz w:val="21"/>
          <w:b/>
        </w:rPr>
        <w:t>六、验收要求：（如有）</w:t>
      </w:r>
    </w:p>
    <w:p>
      <w:pPr>
        <w:pStyle w:val="null3"/>
        <w:ind w:firstLine="480"/>
        <w:jc w:val="both"/>
      </w:pPr>
      <w:r>
        <w:rPr>
          <w:sz w:val="21"/>
        </w:rPr>
        <w:t>1.对招标文件的需求及乙方投标文件的需求响应进行逐一验证，由甲方经过实测和试用，确认满足了招标文件的需求及乙方投标文件的需求内容后，</w:t>
      </w:r>
      <w:r>
        <w:rPr>
          <w:sz w:val="21"/>
        </w:rPr>
        <w:t>按如下2个阶段进行验收：1.</w:t>
      </w:r>
      <w:r>
        <w:rPr>
          <w:sz w:val="21"/>
        </w:rPr>
        <w:t>乙方向甲方交付完整的源代码和技术文档，</w:t>
      </w:r>
      <w:r>
        <w:rPr>
          <w:sz w:val="21"/>
        </w:rPr>
        <w:t>试运行1个月后进行项目初步验收，根据系统试运行的要求作为初步验收的标准，初步验收合格后</w:t>
      </w:r>
      <w:r>
        <w:rPr>
          <w:sz w:val="21"/>
        </w:rPr>
        <w:t>乙方向甲方提供</w:t>
      </w:r>
      <w:r>
        <w:rPr>
          <w:sz w:val="21"/>
        </w:rPr>
        <w:t>试运行申请单、</w:t>
      </w:r>
      <w:r>
        <w:rPr>
          <w:sz w:val="21"/>
        </w:rPr>
        <w:t>初步验收报告。</w:t>
      </w:r>
      <w:r>
        <w:rPr>
          <w:sz w:val="21"/>
        </w:rPr>
        <w:t>2.项目初步验收合格后进入运维服务期，运维服务期1年，</w:t>
      </w:r>
      <w:r>
        <w:rPr>
          <w:sz w:val="21"/>
        </w:rPr>
        <w:t>甲方</w:t>
      </w:r>
      <w:r>
        <w:rPr>
          <w:sz w:val="21"/>
        </w:rPr>
        <w:t>每半年对</w:t>
      </w:r>
      <w:r>
        <w:rPr>
          <w:sz w:val="21"/>
        </w:rPr>
        <w:t>乙方</w:t>
      </w:r>
      <w:r>
        <w:rPr>
          <w:sz w:val="21"/>
        </w:rPr>
        <w:t>进行运维服务质量考核，考核合格后进行最终验收，根据运维服务期质量考核表的考核情况作为最终验收的标准</w:t>
      </w:r>
      <w:r>
        <w:rPr>
          <w:sz w:val="21"/>
        </w:rPr>
        <w:t>，乙方向甲方提供运维服务质量考核表和最终验收报告。</w:t>
      </w:r>
    </w:p>
    <w:p>
      <w:pPr>
        <w:pStyle w:val="null3"/>
        <w:ind w:firstLine="480"/>
        <w:jc w:val="both"/>
      </w:pPr>
      <w:r>
        <w:rPr>
          <w:sz w:val="21"/>
        </w:rPr>
        <w:t>项目验收依次序对照执行标准： ①符合中华人民共和国国家和履约地相关安全质量标准、行业技术规范标准。②符合招标文件和投标承诺中甲方认可的合理最佳配置及各项要求。③双方约定的其他验收标准。</w:t>
      </w:r>
    </w:p>
    <w:p>
      <w:pPr>
        <w:pStyle w:val="null3"/>
        <w:ind w:firstLine="480"/>
        <w:jc w:val="both"/>
      </w:pPr>
      <w:r>
        <w:rPr>
          <w:sz w:val="21"/>
        </w:rPr>
        <w:t>2.其他验收要求：（补充内容不得对采购文件和投标/响应文件作实质性修改）</w:t>
      </w:r>
    </w:p>
    <w:p>
      <w:pPr>
        <w:pStyle w:val="null3"/>
        <w:ind w:firstLine="480"/>
        <w:jc w:val="both"/>
      </w:pPr>
      <w:r>
        <w:rPr>
          <w:u w:val="single"/>
        </w:rPr>
        <w:t xml:space="preserve">                                                           </w:t>
      </w:r>
      <w:r>
        <w:rPr>
          <w:sz w:val="21"/>
        </w:rPr>
        <w:t>。</w:t>
      </w:r>
    </w:p>
    <w:p>
      <w:pPr>
        <w:pStyle w:val="null3"/>
        <w:ind w:firstLine="480"/>
        <w:jc w:val="both"/>
      </w:pPr>
      <w:r>
        <w:rPr>
          <w:sz w:val="21"/>
          <w:b/>
        </w:rPr>
        <w:t>七、知识产权和保密要求：</w:t>
      </w:r>
    </w:p>
    <w:p>
      <w:pPr>
        <w:pStyle w:val="null3"/>
        <w:ind w:firstLine="480"/>
        <w:jc w:val="both"/>
      </w:pPr>
      <w:r>
        <w:rPr>
          <w:sz w:val="21"/>
          <w:u w:val="single"/>
        </w:rPr>
        <w:t>1.知识产权及交付要求</w:t>
      </w:r>
    </w:p>
    <w:p>
      <w:pPr>
        <w:pStyle w:val="null3"/>
        <w:ind w:firstLine="480"/>
        <w:jc w:val="both"/>
      </w:pPr>
      <w:r>
        <w:rPr>
          <w:sz w:val="21"/>
          <w:u w:val="single"/>
        </w:rPr>
        <w:t>（1）本项目所产出的软件源代码、技术文档等成果知识产权归甲方所有。</w:t>
      </w:r>
    </w:p>
    <w:p>
      <w:pPr>
        <w:pStyle w:val="null3"/>
        <w:ind w:firstLine="480"/>
        <w:jc w:val="both"/>
      </w:pPr>
      <w:r>
        <w:rPr>
          <w:sz w:val="21"/>
          <w:u w:val="single"/>
        </w:rPr>
        <w:t>（2）项目交付需提供完整的技术文档、接口说明书以及详细部署说明。</w:t>
      </w:r>
    </w:p>
    <w:p>
      <w:pPr>
        <w:pStyle w:val="null3"/>
        <w:ind w:firstLine="480"/>
        <w:jc w:val="both"/>
      </w:pPr>
      <w:r>
        <w:rPr>
          <w:sz w:val="21"/>
          <w:u w:val="single"/>
        </w:rPr>
        <w:t>（3）乙方需签署《知识产权归属协议》。</w:t>
      </w:r>
    </w:p>
    <w:p>
      <w:pPr>
        <w:pStyle w:val="null3"/>
        <w:ind w:firstLine="480"/>
        <w:jc w:val="both"/>
      </w:pPr>
      <w:r>
        <w:rPr>
          <w:sz w:val="21"/>
          <w:u w:val="single"/>
        </w:rPr>
        <w:t>（4）交付内容：</w:t>
      </w:r>
    </w:p>
    <w:p>
      <w:pPr>
        <w:pStyle w:val="null3"/>
        <w:ind w:firstLine="480"/>
        <w:jc w:val="both"/>
      </w:pPr>
      <w:r>
        <w:rPr>
          <w:sz w:val="21"/>
          <w:u w:val="single"/>
        </w:rPr>
        <w:t>1）软件系统：可执行程序（以小程序形式）+全量源代码；</w:t>
      </w:r>
    </w:p>
    <w:p>
      <w:pPr>
        <w:pStyle w:val="null3"/>
        <w:ind w:firstLine="480"/>
        <w:jc w:val="both"/>
      </w:pPr>
      <w:r>
        <w:rPr>
          <w:sz w:val="21"/>
          <w:u w:val="single"/>
        </w:rPr>
        <w:t>2）文档：运维手册、二次开发指南、API说明。</w:t>
      </w:r>
    </w:p>
    <w:p>
      <w:pPr>
        <w:pStyle w:val="null3"/>
        <w:ind w:firstLine="480"/>
        <w:jc w:val="both"/>
      </w:pPr>
      <w:r>
        <w:rPr>
          <w:sz w:val="21"/>
          <w:u w:val="single"/>
        </w:rPr>
        <w:t>2.保密条款</w:t>
      </w:r>
    </w:p>
    <w:p>
      <w:pPr>
        <w:pStyle w:val="null3"/>
        <w:ind w:firstLine="480"/>
        <w:jc w:val="both"/>
      </w:pPr>
      <w:r>
        <w:rPr>
          <w:sz w:val="21"/>
          <w:u w:val="single"/>
        </w:rPr>
        <w:t>（1）乙方必须如约承担合同履行时所应该尽的一切保密义务。乙方及其参与本项目的所有工作人员均须对甲方信息、项目实施过程中的资料、数据进行保密，未经甲方书面同意不得泄露给第三方，否则，甲方保留追究乙方法律责任的权利。保密责任不因合同的中止或解除而失效。</w:t>
      </w:r>
    </w:p>
    <w:p>
      <w:pPr>
        <w:pStyle w:val="null3"/>
        <w:ind w:firstLine="480"/>
        <w:jc w:val="both"/>
      </w:pPr>
      <w:r>
        <w:rPr>
          <w:sz w:val="21"/>
          <w:u w:val="single"/>
        </w:rPr>
        <w:t>（2）与本项目有关甲方的信息、项目实施过程中的资料、数据等所有资料（包括但不限于文字、图片、声像资料、电子数据等）均属甲方所有，乙方及其参与本项目的所有工作人员在本合同有效期内或合同终止后，不得泄露，也不得超越本项目实施范围使用。</w:t>
      </w:r>
    </w:p>
    <w:p>
      <w:pPr>
        <w:pStyle w:val="null3"/>
        <w:ind w:firstLine="480"/>
        <w:jc w:val="both"/>
      </w:pPr>
      <w:r>
        <w:rPr>
          <w:sz w:val="21"/>
          <w:b/>
        </w:rPr>
        <w:t>八、违约责任：</w:t>
      </w:r>
    </w:p>
    <w:p>
      <w:pPr>
        <w:pStyle w:val="null3"/>
        <w:ind w:firstLine="480"/>
        <w:jc w:val="both"/>
      </w:pPr>
      <w:r>
        <w:rPr>
          <w:sz w:val="21"/>
        </w:rPr>
        <w:t>1.乙方未按要求履行合同义务时，须从违约之日起每日按合同总额的</w:t>
      </w:r>
      <w:r>
        <w:rPr>
          <w:sz w:val="21"/>
          <w:u w:val="single"/>
        </w:rPr>
        <w:t>3‰</w:t>
      </w:r>
      <w:r>
        <w:rPr>
          <w:sz w:val="21"/>
        </w:rPr>
        <w:t>比例向甲方支付违约金；逾期</w:t>
      </w:r>
      <w:r>
        <w:rPr>
          <w:sz w:val="21"/>
          <w:u w:val="single"/>
        </w:rPr>
        <w:t>15</w:t>
      </w:r>
      <w:r>
        <w:rPr>
          <w:sz w:val="21"/>
        </w:rPr>
        <w:t>日以上时，甲方有权终止合同，由此造成甲方的经济损失由乙方承担。违约金不足以弥补损失的，乙方应按全额赔偿。</w:t>
      </w:r>
    </w:p>
    <w:p>
      <w:pPr>
        <w:pStyle w:val="null3"/>
        <w:ind w:firstLine="480"/>
        <w:jc w:val="both"/>
      </w:pPr>
      <w:r>
        <w:rPr>
          <w:sz w:val="21"/>
        </w:rPr>
        <w:t>2.甲方未按要求履行合同义务时，或无故拖延验收、付款时，甲方须向乙方支付滞纳金，标准为每日按逾期应付款总额的</w:t>
      </w:r>
      <w:r>
        <w:rPr>
          <w:sz w:val="21"/>
          <w:u w:val="single"/>
        </w:rPr>
        <w:t>3‰</w:t>
      </w:r>
      <w:r>
        <w:rPr>
          <w:sz w:val="21"/>
        </w:rPr>
        <w:t>累计。</w:t>
      </w:r>
    </w:p>
    <w:p>
      <w:pPr>
        <w:pStyle w:val="null3"/>
        <w:ind w:firstLine="480"/>
        <w:jc w:val="both"/>
      </w:pPr>
      <w:r>
        <w:rPr>
          <w:sz w:val="21"/>
          <w:b/>
        </w:rPr>
        <w:t>九、提出异议的时间和方法：</w:t>
      </w:r>
    </w:p>
    <w:p>
      <w:pPr>
        <w:pStyle w:val="null3"/>
        <w:ind w:firstLine="480"/>
        <w:jc w:val="both"/>
      </w:pPr>
      <w:r>
        <w:rPr>
          <w:sz w:val="21"/>
        </w:rPr>
        <w:t>1.甲方有异议时，应</w:t>
      </w:r>
      <w:r>
        <w:rPr>
          <w:sz w:val="21"/>
          <w:u w:val="single"/>
        </w:rPr>
        <w:t xml:space="preserve"> 15</w:t>
      </w:r>
      <w:r>
        <w:rPr>
          <w:sz w:val="21"/>
        </w:rPr>
        <w:t>天内向乙方提出书面异议。</w:t>
      </w:r>
    </w:p>
    <w:p>
      <w:pPr>
        <w:pStyle w:val="null3"/>
        <w:ind w:firstLine="480"/>
        <w:jc w:val="both"/>
      </w:pPr>
      <w:r>
        <w:rPr>
          <w:sz w:val="21"/>
        </w:rPr>
        <w:t>2.乙方在接到甲方书面异议后，应在</w:t>
      </w:r>
      <w:r>
        <w:rPr>
          <w:sz w:val="21"/>
          <w:u w:val="single"/>
        </w:rPr>
        <w:t xml:space="preserve"> 15</w:t>
      </w:r>
      <w:r>
        <w:rPr>
          <w:sz w:val="21"/>
        </w:rPr>
        <w:t>天内负责处理并函复甲方处理情况，否则，即视为默认甲方提出的异议和处理意见。</w:t>
      </w:r>
    </w:p>
    <w:p>
      <w:pPr>
        <w:pStyle w:val="null3"/>
        <w:ind w:firstLine="480"/>
        <w:jc w:val="both"/>
      </w:pPr>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firstLine="480"/>
        <w:jc w:val="both"/>
      </w:pPr>
      <w:r>
        <w:rPr>
          <w:sz w:val="21"/>
          <w:b/>
        </w:rPr>
        <w:t>十、争议的解决：</w:t>
      </w:r>
    </w:p>
    <w:p>
      <w:pPr>
        <w:pStyle w:val="null3"/>
        <w:ind w:firstLine="480"/>
        <w:jc w:val="both"/>
      </w:pPr>
      <w:r>
        <w:rPr>
          <w:sz w:val="21"/>
        </w:rPr>
        <w:t>1.合同履行过程中发生的任何争议，如双方未能通过友好协商解决，应向佛山市有管辖权的人民法院提起诉讼。</w:t>
      </w:r>
    </w:p>
    <w:p>
      <w:pPr>
        <w:pStyle w:val="null3"/>
        <w:ind w:firstLine="480"/>
        <w:jc w:val="both"/>
      </w:pPr>
      <w:r>
        <w:rPr>
          <w:sz w:val="21"/>
        </w:rPr>
        <w:t>2.法院审理期间，除提交法院审理的事项外，其它无争议的事项和条款仍应继续履行。</w:t>
      </w:r>
    </w:p>
    <w:p>
      <w:pPr>
        <w:pStyle w:val="null3"/>
        <w:ind w:firstLine="480"/>
        <w:jc w:val="both"/>
      </w:pPr>
      <w:r>
        <w:rPr>
          <w:sz w:val="21"/>
          <w:b/>
        </w:rPr>
        <w:t>十一、不可抗力：</w:t>
      </w:r>
    </w:p>
    <w:p>
      <w:pPr>
        <w:pStyle w:val="null3"/>
        <w:ind w:firstLine="420"/>
        <w:jc w:val="both"/>
      </w:pPr>
      <w:r>
        <w:rPr>
          <w:sz w:val="21"/>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sz w:val="21"/>
          <w:b/>
        </w:rPr>
        <w:t>十二、税费：</w:t>
      </w:r>
    </w:p>
    <w:p>
      <w:pPr>
        <w:pStyle w:val="null3"/>
        <w:ind w:firstLine="480"/>
        <w:jc w:val="both"/>
      </w:pPr>
      <w:r>
        <w:rPr>
          <w:sz w:val="21"/>
        </w:rPr>
        <w:t>1.本合同实施过程中所发生的一切税费及不可预见费均由乙方承担。</w:t>
      </w:r>
    </w:p>
    <w:p>
      <w:pPr>
        <w:pStyle w:val="null3"/>
        <w:ind w:firstLine="480"/>
        <w:jc w:val="both"/>
      </w:pPr>
      <w:r>
        <w:rPr>
          <w:sz w:val="21"/>
        </w:rPr>
        <w:t>2.乙方依照税务规章优先在合同履约地开具发票及纳税，咨询：0757-12366。</w:t>
      </w:r>
    </w:p>
    <w:p>
      <w:pPr>
        <w:pStyle w:val="null3"/>
        <w:ind w:firstLine="480"/>
        <w:jc w:val="both"/>
      </w:pPr>
      <w:r>
        <w:rPr>
          <w:sz w:val="21"/>
          <w:b/>
        </w:rPr>
        <w:t>十三、合同生效与合同备案：</w:t>
      </w:r>
    </w:p>
    <w:p>
      <w:pPr>
        <w:pStyle w:val="null3"/>
        <w:ind w:firstLine="480"/>
        <w:jc w:val="both"/>
      </w:pPr>
      <w:r>
        <w:rPr>
          <w:sz w:val="21"/>
        </w:rPr>
        <w:t>1.本合同经采购代理机构鉴证后，由甲方和乙方法人代表或其授权代表签字、盖章之日起即行生效。</w:t>
      </w:r>
    </w:p>
    <w:p>
      <w:pPr>
        <w:pStyle w:val="null3"/>
        <w:ind w:firstLine="480"/>
        <w:jc w:val="both"/>
      </w:pPr>
      <w:r>
        <w:rPr>
          <w:sz w:val="21"/>
        </w:rPr>
        <w:t>2.自采购合同签订之日起2个工作日内，甲方将采购合同(补充合同)在省采购网上公告，但采购合同中涉及国家秘密、商业秘密的内容除外。</w:t>
      </w:r>
    </w:p>
    <w:p>
      <w:pPr>
        <w:pStyle w:val="null3"/>
        <w:ind w:firstLine="480"/>
        <w:jc w:val="both"/>
      </w:pPr>
      <w:r>
        <w:rPr>
          <w:sz w:val="21"/>
          <w:b/>
        </w:rPr>
        <w:t>十四、乙方应提供的资料内容：</w:t>
      </w:r>
    </w:p>
    <w:p>
      <w:pPr>
        <w:pStyle w:val="null3"/>
        <w:ind w:firstLine="480"/>
        <w:jc w:val="both"/>
      </w:pPr>
      <w:r>
        <w:rPr>
          <w:u w:val="single"/>
        </w:rPr>
        <w:t xml:space="preserve">                             </w:t>
      </w:r>
      <w:r>
        <w:rPr>
          <w:sz w:val="21"/>
        </w:rPr>
        <w:t>。</w:t>
      </w:r>
    </w:p>
    <w:p>
      <w:pPr>
        <w:pStyle w:val="null3"/>
        <w:ind w:firstLine="480"/>
        <w:jc w:val="both"/>
      </w:pPr>
      <w:r>
        <w:rPr>
          <w:sz w:val="21"/>
          <w:b/>
        </w:rPr>
        <w:t>十五、关于政府采购合同融资</w:t>
      </w:r>
    </w:p>
    <w:p>
      <w:pPr>
        <w:pStyle w:val="null3"/>
        <w:ind w:firstLine="480"/>
        <w:jc w:val="both"/>
      </w:pPr>
      <w:r>
        <w:rPr>
          <w:sz w:val="21"/>
        </w:rPr>
        <w:t>1.乙方是否已申请政府采购合同融资：</w:t>
      </w:r>
      <w:r>
        <w:rPr>
          <w:sz w:val="21"/>
          <w:u w:val="single"/>
        </w:rPr>
        <w:t xml:space="preserve">  是/否  </w:t>
      </w:r>
      <w:r>
        <w:rPr>
          <w:sz w:val="21"/>
        </w:rPr>
        <w:t>；</w:t>
      </w:r>
    </w:p>
    <w:p>
      <w:pPr>
        <w:pStyle w:val="null3"/>
        <w:ind w:firstLine="480"/>
        <w:jc w:val="both"/>
      </w:pPr>
      <w:r>
        <w:rPr>
          <w:sz w:val="21"/>
        </w:rPr>
        <w:t>2.融资银行及联系方式：</w:t>
      </w:r>
      <w:r>
        <w:rPr>
          <w:u w:val="single"/>
        </w:rPr>
        <w:t xml:space="preserve">          </w:t>
      </w:r>
      <w:r>
        <w:rPr>
          <w:sz w:val="21"/>
        </w:rPr>
        <w:t>。</w:t>
      </w:r>
    </w:p>
    <w:p>
      <w:pPr>
        <w:pStyle w:val="null3"/>
        <w:ind w:firstLine="480"/>
        <w:jc w:val="both"/>
      </w:pPr>
      <w:r>
        <w:rPr>
          <w:sz w:val="21"/>
        </w:rPr>
        <w:t>3.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rPr>
        <w:t>。</w:t>
      </w:r>
    </w:p>
    <w:p>
      <w:pPr>
        <w:pStyle w:val="null3"/>
        <w:ind w:firstLine="480"/>
        <w:jc w:val="both"/>
      </w:pPr>
      <w:r>
        <w:rPr>
          <w:sz w:val="21"/>
          <w:b/>
        </w:rPr>
        <w:t>十六、其它：</w:t>
      </w:r>
    </w:p>
    <w:p>
      <w:pPr>
        <w:pStyle w:val="null3"/>
        <w:ind w:firstLine="480"/>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1"/>
        </w:rPr>
        <w:t>2.如一方（包括联系人）地址、电话、传真号码有变更，应在变更后3个工作日内书面通知对方联系人或负责人，否则，因此造成的损失由未履行通知义务方承担相应责任。</w:t>
      </w:r>
    </w:p>
    <w:p>
      <w:pPr>
        <w:pStyle w:val="null3"/>
        <w:ind w:firstLine="480"/>
        <w:jc w:val="both"/>
      </w:pPr>
      <w:r>
        <w:rPr>
          <w:sz w:val="21"/>
        </w:rPr>
        <w:t>3.未经甲方书面同意，乙方不得擅自向第三方转让其主体性和关键性合同义务。</w:t>
      </w:r>
    </w:p>
    <w:p>
      <w:pPr>
        <w:pStyle w:val="null3"/>
        <w:ind w:firstLine="480"/>
        <w:jc w:val="both"/>
      </w:pPr>
      <w:r>
        <w:rPr>
          <w:sz w:val="21"/>
        </w:rPr>
        <w:t>4.本合同一式份，具有同等法律效力，甲方执份、乙方执份，采购代理机构执壹份。</w:t>
      </w:r>
    </w:p>
    <w:p>
      <w:pPr>
        <w:pStyle w:val="null3"/>
        <w:ind w:firstLine="480"/>
        <w:jc w:val="both"/>
      </w:pPr>
      <w:r>
        <w:rPr>
          <w:sz w:val="21"/>
        </w:rPr>
        <w:t>5.本合同（含附件）共计页，缺页之合同为无效合同。</w:t>
      </w:r>
    </w:p>
    <w:p>
      <w:pPr>
        <w:pStyle w:val="null3"/>
        <w:ind w:firstLine="480"/>
        <w:jc w:val="both"/>
      </w:pPr>
      <w:r>
        <w:rPr>
          <w:sz w:val="21"/>
        </w:rPr>
        <w:t>6.本合同签约履约地点：</w:t>
      </w:r>
      <w:r>
        <w:rPr>
          <w:sz w:val="21"/>
          <w:u w:val="single"/>
        </w:rPr>
        <w:t>广东省佛山市南海区</w:t>
      </w:r>
      <w:r>
        <w:rPr>
          <w:sz w:val="21"/>
        </w:rPr>
        <w:t>。</w:t>
      </w:r>
    </w:p>
    <w:p>
      <w:pPr>
        <w:pStyle w:val="null3"/>
        <w:ind w:firstLine="480"/>
        <w:jc w:val="both"/>
      </w:pPr>
      <w:r>
        <w:rPr>
          <w:sz w:val="21"/>
        </w:rPr>
        <w:t>7.本合同所指“书面通知”包括但不限于短信、电子邮件等数据电文的通知形式，到达时间以民事诉讼法的规定为准，但进行书面通知前后，通知方均有义务电话确认通知事项。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1"/>
        </w:rPr>
        <w:t>8.双方均已对以上各条款及附件作充分了解，并明确理解由此而产生的相关权责。</w:t>
      </w:r>
    </w:p>
    <w:p>
      <w:pPr>
        <w:pStyle w:val="null3"/>
        <w:ind w:firstLine="480"/>
        <w:jc w:val="both"/>
      </w:pPr>
      <w:r>
        <w:rPr>
          <w:sz w:val="21"/>
        </w:rPr>
        <w:t>（以下无正文）</w:t>
      </w:r>
    </w:p>
    <w:p>
      <w:pPr>
        <w:pStyle w:val="null3"/>
        <w:jc w:val="both"/>
      </w:pPr>
      <w:r>
        <w:rPr/>
        <w:t xml:space="preserve"> </w:t>
      </w:r>
    </w:p>
    <w:p>
      <w:pPr>
        <w:pStyle w:val="null3"/>
        <w:ind w:firstLine="480"/>
        <w:jc w:val="both"/>
      </w:pPr>
      <w:r>
        <w:rPr>
          <w:sz w:val="21"/>
        </w:rPr>
        <w:t>合同鉴证单位：广东信诚招标代理咨询有限公司佛山分公司（盖公章）</w:t>
      </w:r>
    </w:p>
    <w:p>
      <w:pPr>
        <w:pStyle w:val="null3"/>
        <w:ind w:firstLine="480"/>
        <w:jc w:val="both"/>
      </w:pPr>
      <w:r>
        <w:rPr>
          <w:sz w:val="21"/>
        </w:rPr>
        <w:t>合同鉴证意见：本合同条款与招标文件相符。</w:t>
      </w:r>
    </w:p>
    <w:p>
      <w:pPr>
        <w:pStyle w:val="null3"/>
        <w:ind w:firstLine="480"/>
        <w:jc w:val="both"/>
      </w:pPr>
      <w:r>
        <w:rPr>
          <w:sz w:val="21"/>
        </w:rPr>
        <w:t>经办人（签名）：</w:t>
      </w:r>
    </w:p>
    <w:p>
      <w:pPr>
        <w:pStyle w:val="null3"/>
        <w:ind w:firstLine="480"/>
        <w:jc w:val="both"/>
      </w:pPr>
      <w:r>
        <w:rPr>
          <w:sz w:val="21"/>
        </w:rPr>
        <w:t>合同鉴证日期：    年  月  日</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90"/>
              <w:bottom w:type="dxa" w:w="0"/>
              <w:right w:type="dxa" w:w="90"/>
            </w:tcMar>
            <w:vAlign w:val="top"/>
          </w:tcPr>
          <w:p>
            <w:pPr>
              <w:pStyle w:val="null3"/>
              <w:jc w:val="both"/>
            </w:pPr>
            <w:r>
              <w:rPr>
                <w:sz w:val="21"/>
                <w:b/>
              </w:rPr>
              <w:t>甲方（盖章）：</w:t>
            </w:r>
          </w:p>
          <w:p>
            <w:pPr>
              <w:pStyle w:val="null3"/>
              <w:jc w:val="both"/>
            </w:pPr>
            <w:r>
              <w:rPr>
                <w:sz w:val="19"/>
              </w:rPr>
              <w:t xml:space="preserve"> </w:t>
            </w:r>
          </w:p>
          <w:p>
            <w:pPr>
              <w:pStyle w:val="null3"/>
              <w:jc w:val="both"/>
            </w:pPr>
            <w:r>
              <w:rPr>
                <w:sz w:val="21"/>
              </w:rPr>
              <w:t>代表：</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    年  月  日</w:t>
            </w:r>
          </w:p>
        </w:tc>
        <w:tc>
          <w:tcPr>
            <w:tcW w:type="dxa" w:w="4010"/>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r>
              <w:rPr>
                <w:sz w:val="21"/>
                <w:b/>
              </w:rPr>
              <w:t>乙方（盖章）：</w:t>
            </w:r>
          </w:p>
          <w:p>
            <w:pPr>
              <w:pStyle w:val="null3"/>
              <w:jc w:val="both"/>
            </w:pPr>
            <w:r>
              <w:rPr>
                <w:sz w:val="21"/>
              </w:rPr>
              <w:t>代表：</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    年  月  日</w:t>
            </w:r>
          </w:p>
        </w:tc>
      </w:tr>
      <w:tr>
        <w:tc>
          <w:tcPr>
            <w:tcW w:type="dxa" w:w="4296"/>
            <w:tcBorders>
              <w:top w:val="none" w:color="000000" w:sz="4"/>
              <w:left w:val="none" w:color="000000" w:sz="4"/>
              <w:bottom w:val="single" w:color="FFFFFF" w:sz="4"/>
              <w:right w:val="dashed" w:color="000000" w:sz="4"/>
            </w:tcBorders>
            <w:tcMar>
              <w:top w:type="dxa" w:w="0"/>
              <w:left w:type="dxa" w:w="90"/>
              <w:bottom w:type="dxa" w:w="0"/>
              <w:right w:type="dxa" w:w="90"/>
            </w:tcMar>
            <w:vAlign w:val="top"/>
          </w:tcPr>
          <w:p>
            <w:pPr>
              <w:pStyle w:val="null3"/>
              <w:jc w:val="both"/>
            </w:pPr>
            <w:r>
              <w:rPr>
                <w:sz w:val="19"/>
              </w:rPr>
              <w:t xml:space="preserve"> </w:t>
            </w:r>
          </w:p>
        </w:tc>
        <w:tc>
          <w:tcPr>
            <w:tcW w:type="dxa" w:w="4010"/>
            <w:tcBorders>
              <w:top w:val="none" w:color="000000" w:sz="4"/>
              <w:left w:val="none" w:color="000000" w:sz="4"/>
              <w:bottom w:val="single" w:color="FFFFFF" w:sz="4"/>
              <w:right w:val="none" w:color="000000" w:sz="4"/>
            </w:tcBorders>
            <w:tcMar>
              <w:top w:type="dxa" w:w="0"/>
              <w:left w:type="dxa" w:w="90"/>
              <w:bottom w:type="dxa" w:w="0"/>
              <w:right w:type="dxa" w:w="90"/>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bl>
    <w:p>
      <w:pPr>
        <w:pStyle w:val="null3"/>
        <w:jc w:val="both"/>
      </w:pPr>
      <w:r>
        <w:rPr>
          <w:sz w:val="21"/>
          <w:b/>
        </w:rPr>
        <w:t>附件一《报价清单明细表》</w:t>
      </w:r>
    </w:p>
    <w:p>
      <w:pPr>
        <w:pStyle w:val="null3"/>
        <w:jc w:val="both"/>
      </w:pPr>
      <w:r>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440605-2025-06313</w:t>
      </w:r>
    </w:p>
    <w:p>
      <w:pPr>
        <w:pStyle w:val="null3"/>
        <w:jc w:val="center"/>
        <w:outlineLvl w:val="3"/>
      </w:pPr>
      <w:r>
        <w:rPr>
          <w:sz w:val="24"/>
          <w:b/>
        </w:rPr>
        <w:t>采购项目编号：</w:t>
      </w:r>
      <w:r>
        <w:rPr>
          <w:sz w:val="24"/>
          <w:b/>
        </w:rPr>
        <w:t>沥采2025033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广东信诚招标代理咨询有限公司佛山分公司</w:t>
      </w:r>
    </w:p>
    <w:p>
      <w:pPr>
        <w:pStyle w:val="null3"/>
        <w:ind w:firstLine="480"/>
      </w:pPr>
      <w:r>
        <w:rPr/>
        <w:t xml:space="preserve"> 你方组织的</w:t>
      </w:r>
      <w:r>
        <w:rPr>
          <w:u w:val="single"/>
        </w:rPr>
        <w:t>“</w:t>
      </w:r>
      <w:r>
        <w:rPr>
          <w:u w:val="single"/>
        </w:rPr>
        <w:t>医疗业务智能协同服务平台</w:t>
      </w:r>
      <w:r>
        <w:rPr>
          <w:u w:val="single"/>
        </w:rPr>
        <w:t>”</w:t>
      </w:r>
      <w:r>
        <w:rPr/>
        <w:t>项目的招标[采购项目编号为：</w:t>
      </w:r>
      <w:r>
        <w:rPr>
          <w:u w:val="single"/>
        </w:rPr>
        <w:t>沥采2025033</w:t>
      </w:r>
      <w:r>
        <w:rPr/>
        <w:t>]，我方愿参与投标。</w:t>
      </w:r>
    </w:p>
    <w:p>
      <w:pPr>
        <w:pStyle w:val="null3"/>
        <w:ind w:firstLine="480"/>
      </w:pPr>
      <w:r>
        <w:rPr/>
        <w:t>我方确认收到贵方提供的</w:t>
      </w:r>
      <w:r>
        <w:rPr>
          <w:u w:val="single"/>
        </w:rPr>
        <w:t>“</w:t>
      </w:r>
      <w:r>
        <w:rPr>
          <w:u w:val="single"/>
        </w:rPr>
        <w:t>医疗业务智能协同服务平台</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广东信诚招标代理咨询有限公司佛山分公司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医疗业务智能协同服务平台</w:t>
      </w:r>
      <w:r>
        <w:rPr/>
        <w:t>”项目采购[采购项目编号为</w:t>
      </w:r>
      <w:r>
        <w:rPr/>
        <w:t>沥采2025033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佛山市南海区第五人民医院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广东信诚招标代理咨询有限公司佛山分公司</w:t>
      </w:r>
    </w:p>
    <w:p>
      <w:pPr>
        <w:pStyle w:val="null3"/>
        <w:ind w:firstLine="480"/>
      </w:pPr>
      <w:r>
        <w:rPr/>
        <w:t xml:space="preserve"> 如果我方在贵采购代理机构组织的</w:t>
      </w:r>
      <w:r>
        <w:rPr/>
        <w:t>医疗业务智能协同服务平台</w:t>
      </w:r>
      <w:r>
        <w:rPr/>
        <w:t>招标中获中标（采购项目编号：</w:t>
      </w:r>
      <w:r>
        <w:rPr/>
        <w:t>沥采2025033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广东信诚招标代理咨询有限公司佛山分公司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广东信诚招标代理咨询有限公司佛山分公司</w:t>
      </w:r>
    </w:p>
    <w:p>
      <w:pPr>
        <w:pStyle w:val="null3"/>
        <w:ind w:firstLine="480"/>
      </w:pPr>
      <w:r>
        <w:rPr/>
        <w:t>我单位已登记并准备参与“</w:t>
      </w:r>
      <w:r>
        <w:rPr/>
        <w:t>医疗业务智能协同服务平台</w:t>
      </w:r>
      <w:r>
        <w:rPr/>
        <w:t>”项目（采购项目编号：</w:t>
      </w:r>
      <w:r>
        <w:rPr/>
        <w:t>沥采2025033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